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The improvement reproduces on MIMIC-CXR (all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0.94, Consolidation 0.86), deferral improves balanced accuracy for three of the four pathologies (Cardiomegaly +0.099 [0.073, 0.134], Effusion +0.091 [0.059, 0.125], Edema +0.064 [0.042,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Cardiomegaly (+0.105 [0.079, 0.134]), Effusion (+0.057 [0.028, 0.086]), and Edema (+0.031 [0.004, 0.077]),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only isolated low-prevalence cells on the geographically distinct PadChest cohort not reaching significance;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2026-06-05T13:20:23Z</dcterms:created>
  <dcterms:modified xsi:type="dcterms:W3CDTF">2026-06-05T13:20:23Z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