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in balanced accuracy at a coverage of 0.70, a relative reduction in balanced error of 25 to 36% (95% confidence intervals excluding zero). Every target pathology is also supported on MIMIC-CXR and PadChest, on an independently trained model evaluated cross-dataset on a source it never saw,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H</m:t>
        </m:r>
        <m:r>
          <m:rPr>
            <m:sty m:val="p"/>
          </m:rPr>
          <m:t>(</m:t>
        </m:r>
        <m:sSub>
          <m:e>
            <m:r>
              <m:t>p</m:t>
            </m:r>
          </m:e>
          <m:sub>
            <m:r>
              <m:t>i</m:t>
            </m:r>
          </m:sub>
        </m:sSub>
        <m:r>
          <m:rPr>
            <m:sty m:val="p"/>
          </m:rPr>
          <m:t>)</m:t>
        </m:r>
      </m:oMath>
      <m:oMath>
        <m:sSub>
          <m:e>
            <m:r>
              <m:t>τ</m:t>
            </m:r>
          </m:e>
          <m:sub>
            <m:r>
              <m:t>i</m:t>
            </m:r>
          </m:sub>
        </m:sSub>
      </m:oMath>
      <m:oMath>
        <m:r>
          <m:t>H</m:t>
        </m:r>
        <m:r>
          <m:rPr>
            <m:sty m:val="p"/>
          </m:rPr>
          <m:t>(</m:t>
        </m:r>
        <m:sSub>
          <m:e>
            <m:r>
              <m:t>p</m:t>
            </m:r>
          </m:e>
          <m:sub>
            <m:r>
              <m:t>i</m:t>
            </m:r>
          </m:sub>
        </m:sSub>
        <m:r>
          <m:rPr>
            <m:sty m:val="p"/>
          </m:rPr>
          <m:t>)</m:t>
        </m:r>
        <m:r>
          <m:rPr>
            <m:sty m:val="p"/>
          </m:rPr>
          <m:t>≤</m:t>
        </m:r>
        <m:sSub>
          <m:e>
            <m:r>
              <m:t>τ</m:t>
            </m:r>
          </m:e>
          <m:sub>
            <m:r>
              <m:t>i</m:t>
            </m:r>
          </m:sub>
        </m:sSub>
      </m:oMath>
      <m:oMath>
        <m:r>
          <m:t>H</m:t>
        </m:r>
        <m:r>
          <m:rPr>
            <m:sty m:val="p"/>
          </m:rPr>
          <m:t>(</m:t>
        </m:r>
        <m:sSub>
          <m:e>
            <m:r>
              <m:t>p</m:t>
            </m:r>
          </m:e>
          <m:sub>
            <m:r>
              <m:t>i</m:t>
            </m:r>
          </m:sub>
        </m:sSub>
        <m:r>
          <m:rPr>
            <m:sty m:val="p"/>
          </m:rPr>
          <m:t>)</m:t>
        </m:r>
        <m:r>
          <m:rPr>
            <m:sty m:val="p"/>
          </m:rPr>
          <m:t>&gt;</m:t>
        </m:r>
        <m:sSub>
          <m:e>
            <m:r>
              <m:t>τ</m:t>
            </m:r>
          </m:e>
          <m:sub>
            <m:r>
              <m:t>i</m:t>
            </m:r>
          </m:sub>
        </m:sSub>
      </m:oMath>
      <w:r>
        <w:rPr>
          <w:b/>
          <w:i/>
        </w:rPr>
        <w:t>Figure 1:</w:t>
      </w:r>
      <w:r>
        <w:rPr>
          <w:b w:val="0"/>
          <w:i/>
        </w:rPr>
        <w:t xml:space="preserve"> </w:t>
      </w:r>
      <w:r>
        <w:rPr>
          <w:b w:val="0"/>
          <w:i/>
        </w:rPr>
        <w:t>Overview of the proposed selective chest X-ray classification framework. The multi-pathology classification model (a DenseNet-121 backbone) produces per-pathology probabilities; a confidence-estimation stage computes the binary entropy  of each, and quantile-based threshold calibration yields a per-class threshold . The decision module compares each pathology's entropy against its threshold, accepting confident findings () as a partial-pathology classification and deferring uncertain findings () for expert review. Each pathology is accepted or deferred independently, so acceptance is a partial-label output rather than a global clearance of the image.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green"/>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autofit"/>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663"/>
        <w:gridCol w:w="1584"/>
        <w:gridCol w:w="1584"/>
        <w:gridCol w:w="1821"/>
        <w:gridCol w:w="126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green"/>
              </w:rPr>
              <w:t xml:space="preserve">Balanced-error reduction</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all three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 selective prediction addresses this penalty by recovering retained balanced accuracy on the shifted distribution (Table 4).</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selective prediction addresses this penalty by recovering retained balanced accuracy on the shifted distribution (Table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autofit"/>
        <w:tblLook w:firstRow="1" w:lastRow="0" w:firstColumn="0" w:lastColumn="0" w:noHBand="0" w:noVBand="0" w:val="0020"/>
        <w:tblCaption w:val="Table 4: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900"/>
        <w:gridCol w:w="2138"/>
        <w:gridCol w:w="1663"/>
        <w:gridCol w:w="221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green"/>
              </w:rPr>
              <w:t xml:space="preserve">Balanced-error reduction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shd w:val="clear" w:color="auto" w:fill="D8F5DD"/>
            <w:shd w:val="clear" w:color="auto" w:fill="D8F5DD"/>
            <w:shd w:val="clear" w:color="auto" w:fill="D8F5DD"/>
            <w:shd w:val="clear" w:color="auto" w:fill="D8F5DD"/>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shd w:val="clear" w:color="auto" w:fill="D8F5DD"/>
            <w:shd w:val="clear" w:color="auto" w:fill="D8F5DD"/>
            <w:shd w:val="clear" w:color="auto" w:fill="D8F5DD"/>
            <w:shd w:val="clear" w:color="auto" w:fill="D8F5DD"/>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shd w:val="clear" w:color="auto" w:fill="D8F5DD"/>
            <w:shd w:val="clear" w:color="auto" w:fill="D8F5DD"/>
            <w:shd w:val="clear" w:color="auto" w:fill="D8F5DD"/>
            <w:shd w:val="clear" w:color="auto" w:fill="D8F5DD"/>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+0.059 [0.007, 0.107]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2984601" cy="210343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2984601" cy="21034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(Section 4.1),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2026-06-05T21:12:49Z</dcterms:created>
  <dcterms:modified xsi:type="dcterms:W3CDTF">2026-06-05T21:12:49Z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