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yellow"/>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yellow"/>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yellow"/>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yellow"/>
        </w:rPr>
        <w:t xml:space="preserve">Zech, J. R., Badgeley, M. A., Liu, M., Costa, A. B., Titano, J. J., Oermann, E. K. (2018). Variable generalization performance of a deep learning model to detect pneumonia in chest radiographs.</w:t>
      </w:r>
      <w:r>
        <w:t xml:space="preserve"> </w:t>
      </w:r>
      <w:r>
        <w:rPr>
          <w:i/>
          <w:iCs/>
          <w:highlight w:val="yellow"/>
        </w:rPr>
        <w:t xml:space="preserve">PLOS Medicine</w:t>
      </w:r>
      <w:r>
        <w:rPr>
          <w:highlight w:val="yellow"/>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yellow"/>
        </w:rPr>
        <w:t xml:space="preserve">Ovadia, Y., et al. (2019). Can you trust your model's uncertainty? Evaluating predictive uncertainty under dataset shift.</w:t>
      </w:r>
      <w:r>
        <w:t xml:space="preserve"> </w:t>
      </w:r>
      <w:r>
        <w:rPr>
          <w:i/>
          <w:iCs/>
          <w:highlight w:val="yellow"/>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yellow"/>
        </w:rPr>
        <w:t xml:space="preserve">Cohen, J. P., Hashir, M., Brooks, R., Bertrand, H. (2020). On the limits of cross-domain generalization in automated X-ray prediction.</w:t>
      </w:r>
      <w:r>
        <w:t xml:space="preserve"> </w:t>
      </w:r>
      <w:r>
        <w:rPr>
          <w:i/>
          <w:iCs/>
          <w:highlight w:val="yellow"/>
        </w:rPr>
        <w:t xml:space="preserve">Medical Imaging with Deep Learning (MIDL)</w:t>
      </w:r>
      <w:r>
        <w:rPr>
          <w:highlight w:val="yellow"/>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2026-06-06T04:05:30Z</dcterms:created>
  <dcterms:modified xsi:type="dcterms:W3CDTF">2026-06-06T04:05:30Z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