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Amit Tzahar</w:t>
      </w:r>
      <w:r>
        <w:rPr>
          <w:rFonts w:ascii="Times New Roman" w:hAnsi="Times New Roman"/>
          <w:b w:val="0"/>
          <w:i/>
          <w:sz w:val="20"/>
          <w:vertAlign w:val="superscript"/>
        </w:rPr>
        <w:t xml:space="preserve">1</w:t>
      </w:r>
      <w:r>
        <w:rPr>
          <w:rFonts w:ascii="Times New Roman" w:hAnsi="Times New Roman"/>
          <w:b w:val="0"/>
          <w:i/>
          <w:sz w:val="20"/>
        </w:rPr>
        <w:t xml:space="preserve">, Alon Gottlib</w:t>
      </w:r>
      <w:r>
        <w:rPr>
          <w:rFonts w:ascii="Times New Roman" w:hAnsi="Times New Roman"/>
          <w:b w:val="0"/>
          <w:i/>
          <w:sz w:val="20"/>
          <w:vertAlign w:val="superscript"/>
        </w:rPr>
        <w:t xml:space="preserve">1</w:t>
      </w:r>
      <w:r>
        <w:rPr>
          <w:rFonts w:ascii="Times New Roman" w:hAnsi="Times New Roman"/>
          <w:b w:val="0"/>
          <w:i/>
          <w:sz w:val="20"/>
        </w:rPr>
        <w:t xml:space="preserve">, Tal Verber</w:t>
      </w:r>
      <w:r>
        <w:rPr>
          <w:rFonts w:ascii="Times New Roman" w:hAnsi="Times New Roman"/>
          <w:b w:val="0"/>
          <w:i/>
          <w:sz w:val="20"/>
          <w:vertAlign w:val="superscript"/>
        </w:rPr>
        <w:t xml:space="preserve">1</w:t>
      </w:r>
      <w:r>
        <w:rPr>
          <w:rFonts w:ascii="Times New Roman" w:hAnsi="Times New Roman"/>
          <w:b w:val="0"/>
          <w:i/>
          <w:sz w:val="20"/>
        </w:rPr>
        <w:t xml:space="preserve">, Ravit Shagan Damti</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with gains of 0.04 to 0.09 at a coverage of 0.70 on NIH ChestX-ray14 (95% confidence intervals excluding zero), and the improvement replicates on MIMIC-CXR, on the geographically independent PadChest cohort, and on an independently trained model.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2271472"/>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2271472"/>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[10], CheXpert [5], MIMIC-CXR [11], and PadChest [12]; we adopt this backbone and augment it with a rejection mechanism.</w:t>
      </w:r>
      <w:r>
        <w:t xml:space="preserve"> </w:t>
      </w:r>
      <w:r>
        <w:rPr>
          <w:highlight w:val="green"/>
        </w:rPr>
        <w:t xml:space="preserve">Cross-domain generalization in this setting is known to be fragile: Zech et al. [32] show that models can exploit hospital-specific confounders and degrade across acquisition sites, and Cohen et al. [9] attribute much of the cross-dataset gap to label shift. Ovadia et al. [33]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[13] and machine learning [14] shows that increased uncertainty leads to greater sensitivity to small perturbations, often indicating operation near a decision boundary. Such instability motivates analyzing perturbation responses as a diagnostic tool [15] and is frequently leveraged in active learning [16],[17], where uncertain samples are prioritized for annotation. Selective classification, the reject option, allows a model to abstain on uncertain inputs to reduce errors. Chow [18] formalized the error-reject trade-off, and Cortes et al. [19] developed frameworks for learning with a reject option. For deep networks, Geifman and El-Yaniv [20] introduced a risk-coverage framework that thresholds the maximal softmax response to guarantee a user-specified error rate, and proposed SelectiveNet [21], which optimizes the accuracy-coverage trade-off during training. Lakshminarayanan et al. [22] showed that deep ensembles provide high-quality uncertainty estimates. Fisch et al. [23] train a selector for calibrated selective classification; Cattelan and Silva [24] propose a logit normalization that improves confidence-based rejection; and Rabanser et al. [25] reject inputs whose predictions flip during training.</w:t>
      </w:r>
      <w:r>
        <w:t xml:space="preserve"> </w:t>
      </w:r>
      <w:r>
        <w:rPr>
          <w:highlight w:val="green"/>
        </w:rPr>
        <w:t xml:space="preserve">The risk-coverage curve and its area introduced in this line of work [20]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[26] emphasize that machine learning systems in healthcare should be able to say "I do not know" for high-uncertainty cases, and survey abstention methods. Faghani et al. [27] outline emerging trends in uncertainty quantification for medical imaging, noting that an uncertainty measure allows experts to re-evaluate doubtful cases. In chest radiography specifically, Whata et al. [28] developed a Bayesian CNN that quantifies predictive uncertainty for multi-class classification, and Das et al. [29]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w:t>
      </w:r>
    </w:p>
    <w:p>
      <w:pPr>
        <w:spacing w:before="160" w:after="60" w:line="240" w:lineRule="auto"/>
        <w:keepNext/>
        <w:keepLines/>
        <w:widowControl w:val="1"/>
      </w:pPr>
      <w:r>
        <w:rPr>
          <w:b/>
          <w:i/>
          <w:highlight w:val="yellow"/>
        </w:rPr>
        <w:t>Table 1:</w:t>
      </w:r>
      <w:r>
        <w:rPr>
          <w:b w:val="0"/>
          <w:i/>
        </w:rPr>
        <w:t xml:space="preserve"> </w:t>
      </w:r>
      <w:r>
        <w:rPr>
          <w:b w:val="0"/>
          <w:i/>
          <w:highlight w:val="yellow"/>
        </w:rPr>
        <w:t>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Category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Positive count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Percentage (%)</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shd w:val="clear" w:color="auto" w:fill="FFF3B0"/>
          </w:tcPr>
          <w:p>
            <w:pPr>
              <w:pStyle w:val="Compact"/>
              <w:spacing w:before="0" w:after="20" w:line="240" w:lineRule="auto"/>
              <w:jc w:val="center"/>
              <w:keepNext w:val="0"/>
              <w:keepLines/>
              <w:widowControl w:val="1"/>
            </w:pPr>
            <w:r>
              <w:rPr>
                <w:rFonts w:ascii="Times New Roman" w:hAnsi="Times New Roman"/>
                <w:sz w:val="20"/>
              </w:rPr>
              <w:t xml:space="preserve">2284</w:t>
            </w:r>
          </w:p>
        </w:tc>
        <w:tc>
          <w:tcPr>
            <w:tcBorders>
              <w:left w:val="nil"/>
              <w:right w:val="nil"/>
              <w:top w:val="nil"/>
              <w:bottom w:val="single" w:sz="4" w:color="D9E1E8"/>
            </w:tcBorders>
            <w:shd w:val="clear" w:color="auto" w:fill="FFF3B0"/>
          </w:tcPr>
          <w:p>
            <w:pPr>
              <w:pStyle w:val="Compact"/>
              <w:spacing w:before="0" w:after="20" w:line="240" w:lineRule="auto"/>
              <w:jc w:val="center"/>
              <w:keepNext w:val="0"/>
              <w:keepLines/>
              <w:widowControl w:val="1"/>
            </w:pPr>
            <w:r>
              <w:rPr>
                <w:rFonts w:ascii="Times New Roman" w:hAnsi="Times New Roman"/>
                <w:sz w:val="20"/>
              </w:rPr>
              <w:t xml:space="preserve">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shd w:val="clear" w:color="auto" w:fill="FFF3B0"/>
          </w:tcPr>
          <w:p>
            <w:pPr>
              <w:pStyle w:val="Compact"/>
              <w:spacing w:before="0" w:after="20" w:line="240" w:lineRule="auto"/>
              <w:jc w:val="center"/>
              <w:keepNext w:val="0"/>
              <w:keepLines/>
              <w:widowControl w:val="1"/>
            </w:pPr>
            <w:r>
              <w:rPr>
                <w:rFonts w:ascii="Times New Roman" w:hAnsi="Times New Roman"/>
                <w:sz w:val="20"/>
              </w:rPr>
              <w:t xml:space="preserve">3608</w:t>
            </w:r>
          </w:p>
        </w:tc>
        <w:tc>
          <w:tcPr>
            <w:tcBorders>
              <w:left w:val="nil"/>
              <w:right w:val="nil"/>
              <w:top w:val="nil"/>
              <w:bottom w:val="single" w:sz="4" w:color="D9E1E8"/>
            </w:tcBorders>
            <w:shd w:val="clear" w:color="auto" w:fill="FFF3B0"/>
          </w:tcPr>
          <w:p>
            <w:pPr>
              <w:pStyle w:val="Compact"/>
              <w:spacing w:before="0" w:after="20" w:line="240" w:lineRule="auto"/>
              <w:jc w:val="center"/>
              <w:keepNext w:val="0"/>
              <w:keepLines/>
              <w:widowControl w:val="1"/>
            </w:pPr>
            <w:r>
              <w:rPr>
                <w:rFonts w:ascii="Times New Roman" w:hAnsi="Times New Roman"/>
                <w:sz w:val="20"/>
              </w:rPr>
              <w:t xml:space="preserve">14.8</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shd w:val="clear" w:color="auto" w:fill="FFF3B0"/>
          </w:tcPr>
          <w:p>
            <w:pPr>
              <w:pStyle w:val="Compact"/>
              <w:spacing w:before="0" w:after="20" w:line="240" w:lineRule="auto"/>
              <w:jc w:val="center"/>
              <w:keepNext w:val="0"/>
              <w:keepLines/>
              <w:widowControl w:val="1"/>
            </w:pPr>
            <w:r>
              <w:rPr>
                <w:rFonts w:ascii="Times New Roman" w:hAnsi="Times New Roman"/>
                <w:sz w:val="20"/>
              </w:rPr>
              <w:t xml:space="preserve">1255</w:t>
            </w:r>
          </w:p>
        </w:tc>
        <w:tc>
          <w:tcPr>
            <w:tcBorders>
              <w:left w:val="nil"/>
              <w:right w:val="nil"/>
              <w:top w:val="nil"/>
              <w:bottom w:val="single" w:sz="4" w:color="D9E1E8"/>
            </w:tcBorders>
            <w:shd w:val="clear" w:color="auto" w:fill="FFF3B0"/>
          </w:tcPr>
          <w:p>
            <w:pPr>
              <w:pStyle w:val="Compact"/>
              <w:spacing w:before="0" w:after="20" w:line="240" w:lineRule="auto"/>
              <w:jc w:val="center"/>
              <w:keepNext w:val="0"/>
              <w:keepLines/>
              <w:widowControl w:val="1"/>
            </w:pPr>
            <w:r>
              <w:rPr>
                <w:rFonts w:ascii="Times New Roman" w:hAnsi="Times New Roman"/>
                <w:sz w:val="20"/>
              </w:rPr>
              <w:t xml:space="preserve">5.1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single" w:sz="4" w:color="D9E1E8"/>
            </w:tcBorders>
            <w:shd w:val="clear" w:color="auto" w:fill="FFF3B0"/>
          </w:tcPr>
          <w:p>
            <w:pPr>
              <w:pStyle w:val="Compact"/>
              <w:spacing w:before="0" w:after="20" w:line="240" w:lineRule="auto"/>
              <w:jc w:val="center"/>
              <w:keepNext w:val="0"/>
              <w:keepLines/>
              <w:widowControl w:val="1"/>
            </w:pPr>
            <w:r>
              <w:rPr>
                <w:rFonts w:ascii="Times New Roman" w:hAnsi="Times New Roman"/>
                <w:sz w:val="20"/>
              </w:rPr>
              <w:t xml:space="preserve">959</w:t>
            </w:r>
          </w:p>
        </w:tc>
        <w:tc>
          <w:tcPr>
            <w:tcBorders>
              <w:left w:val="nil"/>
              <w:right w:val="nil"/>
              <w:top w:val="nil"/>
              <w:bottom w:val="single" w:sz="4" w:color="D9E1E8"/>
            </w:tcBorders>
            <w:shd w:val="clear" w:color="auto" w:fill="FFF3B0"/>
          </w:tcPr>
          <w:p>
            <w:pPr>
              <w:pStyle w:val="Compact"/>
              <w:spacing w:before="0" w:after="20" w:line="240" w:lineRule="auto"/>
              <w:jc w:val="center"/>
              <w:keepNext w:val="0"/>
              <w:keepLines/>
              <w:widowControl w:val="1"/>
            </w:pPr>
            <w:r>
              <w:rPr>
                <w:rFonts w:ascii="Times New Roman" w:hAnsi="Times New Roman"/>
                <w:sz w:val="20"/>
              </w:rPr>
              <w:t xml:space="preserve">3.9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Multi-Pathology</w:t>
            </w:r>
          </w:p>
        </w:tc>
        <w:tc>
          <w:tcPr>
            <w:tcBorders>
              <w:left w:val="nil"/>
              <w:right w:val="nil"/>
              <w:top w:val="nil"/>
              <w:bottom w:val="nil"/>
            </w:tcBorders>
            <w:shd w:val="clear" w:color="auto" w:fill="FFF3B0"/>
          </w:tcPr>
          <w:p>
            <w:pPr>
              <w:pStyle w:val="Compact"/>
              <w:spacing w:before="0" w:after="20" w:line="240" w:lineRule="auto"/>
              <w:jc w:val="center"/>
              <w:keepNext w:val="0"/>
              <w:keepLines/>
              <w:widowControl w:val="1"/>
            </w:pPr>
            <w:r>
              <w:rPr>
                <w:rFonts w:ascii="Times New Roman" w:hAnsi="Times New Roman"/>
                <w:sz w:val="20"/>
              </w:rPr>
              <w:t xml:space="preserve">1661</w:t>
            </w:r>
          </w:p>
        </w:tc>
        <w:tc>
          <w:tcPr>
            <w:tcBorders>
              <w:left w:val="nil"/>
              <w:right w:val="nil"/>
              <w:top w:val="nil"/>
              <w:bottom w:val="nil"/>
            </w:tcBorders>
            <w:shd w:val="clear" w:color="auto" w:fill="FFF3B0"/>
          </w:tcPr>
          <w:p>
            <w:pPr>
              <w:pStyle w:val="Compact"/>
              <w:spacing w:before="0" w:after="20" w:line="240" w:lineRule="auto"/>
              <w:jc w:val="center"/>
              <w:keepNext w:val="0"/>
              <w:keepLines/>
              <w:widowControl w:val="1"/>
            </w:pPr>
            <w:r>
              <w:rPr>
                <w:rFonts w:ascii="Times New Roman" w:hAnsi="Times New Roman"/>
                <w:sz w:val="20"/>
              </w:rPr>
              <w:t xml:space="preserve">6.8</w:t>
            </w:r>
          </w:p>
        </w:tc>
      </w:tr>
    </w:tbl>
    <w:p>
      <w:pPr>
        <w:pStyle w:val="BodyText"/>
        <w:jc w:val="center"/>
        <w:keepNext/>
        <w:keepLines/>
        <w:widowControl w:val="1"/>
      </w:pPr>
      <w:r>
        <w:drawing>
          <wp:inline>
            <wp:extent cx="5943600" cy="166289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166289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2:</w:t>
      </w:r>
      <w:r>
        <w:rPr>
          <w:b w:val="0"/>
          <w:i/>
        </w:rPr>
        <w:t xml:space="preserve"> </w:t>
      </w:r>
      <w:r>
        <w:rPr>
          <w:b w:val="0"/>
          <w:i/>
          <w:highlight w:val="green"/>
        </w:rPr>
        <w:t>Representative frontal chest radiographs for the four target pathologies, each shown for a case in which the corresponding label is present, illustrating the visual diversity and diagnostic subtlety of the findings.</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[30]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[9],[31].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to verify that the findings are not specific to that backbone, an independently trained weighted-BCE DenseNet-121 following the procedure above is also evaluated (Section 4.1).</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a predicted probability</w:t>
      </w:r>
      <w:r>
        <w:t xml:space="preserve"> </w:t>
      </w:r>
      <m:oMath>
        <m:r>
          <m:t>p</m:t>
        </m:r>
      </m:oMath>
      <w:r>
        <w:t xml:space="preserve"> </w:t>
      </w:r>
      <w:r>
        <w:t xml:space="preserve">of a given pathology, the binary entropy is</w:t>
      </w:r>
    </w:p>
    <w:p>
      <w:pPr>
        <w:pStyle w:val="BodyText"/>
      </w:pPr>
      <m:oMathPara>
        <m:oMathParaPr>
          <m:jc m:val="center"/>
        </m:oMathParaPr>
        <m:oMath>
          <m:r>
            <m:t>H</m:t>
          </m:r>
          <m:r>
            <m:rPr>
              <m:sty m:val="p"/>
            </m:rPr>
            <m:t>(</m:t>
          </m:r>
          <m:r>
            <m:t>p</m:t>
          </m:r>
          <m:r>
            <m:rPr>
              <m:sty m:val="p"/>
            </m:rPr>
            <m:t>)</m:t>
          </m:r>
          <m:r>
            <m:rPr>
              <m:sty m:val="p"/>
            </m:rPr>
            <m:t>=</m:t>
          </m:r>
          <m:r>
            <m:rPr>
              <m:sty m:val="p"/>
            </m:rPr>
            <m:t>−</m:t>
          </m:r>
          <m:r>
            <m:t> </m:t>
          </m:r>
          <m:r>
            <m:t>p</m:t>
          </m:r>
          <m:sSub>
            <m:e>
              <m:r>
                <m:rPr>
                  <m:sty m:val="p"/>
                </m:rPr>
                <m:t>log</m:t>
              </m:r>
            </m:e>
            <m:sub>
              <m:r>
                <m:t>2</m:t>
              </m:r>
            </m:sub>
          </m:sSub>
          <m:r>
            <m:t>p</m:t>
          </m:r>
          <m:r>
            <m:rPr>
              <m:sty m:val="p"/>
            </m:rPr>
            <m:t>−</m:t>
          </m:r>
          <m:r>
            <m:rPr>
              <m:sty m:val="p"/>
            </m:rPr>
            <m:t>(</m:t>
          </m:r>
          <m:r>
            <m:t>1</m:t>
          </m:r>
          <m:r>
            <m:rPr>
              <m:sty m:val="p"/>
            </m:rPr>
            <m:t>−</m:t>
          </m:r>
          <m:r>
            <m:t>p</m:t>
          </m:r>
          <m:r>
            <m:rPr>
              <m:sty m:val="p"/>
            </m:rPr>
            <m:t>)</m:t>
          </m:r>
          <m:sSub>
            <m:e>
              <m:r>
                <m:rPr>
                  <m:sty m:val="p"/>
                </m:rPr>
                <m:t>log</m:t>
              </m:r>
            </m:e>
            <m:sub>
              <m:r>
                <m:t>2</m:t>
              </m:r>
            </m:sub>
          </m:sSub>
          <m:r>
            <m:rPr>
              <m:sty m:val="p"/>
            </m:rPr>
            <m:t>(</m:t>
          </m:r>
          <m:r>
            <m:t>1</m:t>
          </m:r>
          <m:r>
            <m:rPr>
              <m:sty m:val="p"/>
            </m:rPr>
            <m:t>−</m:t>
          </m:r>
          <m:r>
            <m:t>p</m:t>
          </m:r>
          <m:r>
            <m:rPr>
              <m:sty m:val="p"/>
            </m:rPr>
            <m:t>)</m:t>
          </m:r>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r>
          <m:t>p</m:t>
        </m:r>
        <m:r>
          <m:rPr>
            <m:sty m:val="p"/>
          </m:rPr>
          <m:t>→</m:t>
        </m:r>
        <m:r>
          <m:t>0</m:t>
        </m:r>
      </m:oMath>
      <w:r>
        <w:t xml:space="preserve"> </w:t>
      </w:r>
      <w:r>
        <w:t xml:space="preserve">or</w:t>
      </w:r>
      <w:r>
        <w:t xml:space="preserve"> </w:t>
      </w:r>
      <m:oMath>
        <m:r>
          <m:t>p</m:t>
        </m:r>
        <m:r>
          <m:rPr>
            <m:sty m:val="p"/>
          </m:rPr>
          <m:t>→</m:t>
        </m:r>
        <m:r>
          <m:t>1</m:t>
        </m:r>
      </m:oMath>
      <w:r>
        <w:t xml:space="preserve">. A pathology prediction is rejected when its entropy exceeds a calibrated threshold</w:t>
      </w:r>
      <w:r>
        <w:t xml:space="preserve"> </w:t>
      </w:r>
      <m:oMath>
        <m:sSub>
          <m:e>
            <m:r>
              <m:t>τ</m:t>
            </m:r>
          </m:e>
          <m:sub>
            <m:r>
              <m:t>c</m:t>
            </m:r>
          </m:sub>
        </m:sSub>
      </m:oMath>
      <w:r>
        <w:t xml:space="preserve">,</w:t>
      </w:r>
    </w:p>
    <w:p>
      <w:pPr>
        <w:pStyle w:val="BodyText"/>
      </w:pPr>
      <m:oMathPara>
        <m:oMathParaPr>
          <m:jc m:val="center"/>
        </m:oMathParaPr>
        <m:oMath>
          <m:r>
            <m:rPr>
              <m:nor/>
              <m:sty m:val="p"/>
            </m:rPr>
            <m:t>reject pathology </m:t>
          </m:r>
          <m:r>
            <m:t>c</m:t>
          </m:r>
          <m:r>
            <m:rPr>
              <m:sty m:val="p"/>
            </m:rPr>
            <m:t>⇔</m:t>
          </m:r>
          <m:r>
            <m:t>H</m:t>
          </m:r>
          <m:r>
            <m:rPr>
              <m:sty m:val="p"/>
            </m:rPr>
            <m:t>(</m:t>
          </m:r>
          <m:sSub>
            <m:e>
              <m:r>
                <m:t>p</m:t>
              </m:r>
            </m:e>
            <m:sub>
              <m:r>
                <m:t>c</m:t>
              </m:r>
            </m:sub>
          </m:sSub>
          <m:r>
            <m:rPr>
              <m:sty m:val="p"/>
            </m:rPr>
            <m:t>)</m:t>
          </m:r>
          <m:r>
            <m:rPr>
              <m:sty m:val="p"/>
            </m:rPr>
            <m:t>&gt;</m:t>
          </m:r>
          <m:sSub>
            <m:e>
              <m:r>
                <m:t>τ</m:t>
              </m:r>
            </m:e>
            <m:sub>
              <m:r>
                <m:t>c</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(for example, 75% to 95%) and compute either a class-specific or a global threshold corresponding to the selected quantile.</w:t>
      </w:r>
      <w:r>
        <w:t xml:space="preserve"> </w:t>
      </w:r>
      <w:r>
        <w:rPr>
          <w:highlight w:val="green"/>
        </w:rPr>
        <w:t xml:space="preserve">A threshold-sensitivity analysis (Figure 5)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47"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w:t>
      </w:r>
    </w:p>
    <w:bookmarkStart w:id="30"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w:t>
      </w:r>
    </w:p>
    <w:p>
      <w:pPr>
        <w:spacing w:before="160" w:after="60" w:line="240" w:lineRule="auto"/>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0.757</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0.839</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+0.082 [0.056, 0.113]</w:t>
            </w:r>
          </w:p>
        </w:tc>
      </w:tr>
      <w:tr>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0.780</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0.822</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+0.043 [0.029, 0.060]</w:t>
            </w:r>
          </w:p>
        </w:tc>
      </w:tr>
      <w:tr>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0.754</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0.841</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+0.086 [0.054, 0.125]</w:t>
            </w:r>
          </w:p>
        </w:tc>
      </w:tr>
      <w:tr>
        <w:tc>
          <w:tcPr>
            <w:tcBorders>
              <w:left w:val="nil"/>
              <w:right w:val="nil"/>
              <w:top w:val="nil"/>
              <w:bottom w:val="nil"/>
            </w:tcBorders>
            <w:shd w:val="clear" w:color="auto" w:fill="D8F5DD"/>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0.730</w:t>
            </w:r>
          </w:p>
        </w:tc>
        <w:tc>
          <w:tcPr>
            <w:tcBorders>
              <w:left w:val="nil"/>
              <w:right w:val="nil"/>
              <w:top w:val="nil"/>
              <w:bottom w:val="nil"/>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0.807</w:t>
            </w:r>
          </w:p>
        </w:tc>
        <w:tc>
          <w:tcPr>
            <w:tcBorders>
              <w:left w:val="nil"/>
              <w:right w:val="nil"/>
              <w:top w:val="nil"/>
              <w:bottom w:val="nil"/>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28" name="Picture"/>
            <a:graphic>
              <a:graphicData uri="http://schemas.openxmlformats.org/drawingml/2006/picture">
                <pic:pic>
                  <pic:nvPicPr>
                    <pic:cNvPr descr="assets/selective_bacc_nih22k.png" id="29" name="Picture"/>
                    <pic:cNvPicPr>
                      <a:picLocks noChangeArrowheads="1" noChangeAspect="1"/>
                    </pic:cNvPicPr>
                  </pic:nvPicPr>
                  <pic:blipFill>
                    <a:blip r:embed="rId27"/>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3:</w:t>
      </w:r>
      <w:r>
        <w:rPr>
          <w:b w:val="0"/>
          <w:i/>
        </w:rPr>
        <w:t xml:space="preserve"> </w:t>
      </w:r>
      <w:r>
        <w:rPr>
          <w:b w:val="0"/>
          <w:i/>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(8,185 frontal images), the same calibrated-threshold analysis yields supported balanced-accuracy gains for three of the four pathologies (Cardiomegaly +0.073 [0.061, 0.088], Effusion +0.088 [0.076, 0.100], Edema +0.060 [0.043, 0.076];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0.90, Effusion 0.96, Consolidation 0.92), deferral improves Cardiomegaly balanced accuracy from 0.81 to 0.90 at a coverage of 0.70 (+0.086 [0.062, 0.110]; 95% confidence interval excluding zero), confirming the benefit on a third, geographically independent cohort.</w:t>
      </w:r>
    </w:p>
    <w:bookmarkEnd w:id="30"/>
    <w:bookmarkStart w:id="34"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4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2" name="Picture"/>
            <a:graphic>
              <a:graphicData uri="http://schemas.openxmlformats.org/drawingml/2006/picture">
                <pic:pic>
                  <pic:nvPicPr>
                    <pic:cNvPr descr="assets/e1_risk_coverage_nih22k.png" id="33" name="Picture"/>
                    <pic:cNvPicPr>
                      <a:picLocks noChangeArrowheads="1" noChangeAspect="1"/>
                    </pic:cNvPicPr>
                  </pic:nvPicPr>
                  <pic:blipFill>
                    <a:blip r:embed="rId31"/>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4:</w:t>
      </w:r>
      <w:r>
        <w:rPr>
          <w:b w:val="0"/>
          <w:i/>
        </w:rPr>
        <w:t xml:space="preserve"> </w:t>
      </w:r>
      <w:r>
        <w:rPr>
          <w:b w:val="0"/>
          <w:i/>
        </w:rPr>
        <w:t>Risk-coverage curves per pathology. The retained-prediction performance is traced against coverage as the entropy threshold varies.</w:t>
      </w:r>
    </w:p>
    <w:bookmarkEnd w:id="34"/>
    <w:bookmarkStart w:id="35"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160" w:after="60" w:line="240" w:lineRule="auto"/>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In-domain AUC (NIH)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Out-of-distribution AUC (MIMIC)</w:t>
            </w:r>
          </w:p>
        </w:tc>
      </w:tr>
      <w:tr>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0.864</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0.687</w:t>
            </w:r>
          </w:p>
        </w:tc>
      </w:tr>
      <w:tr>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0.818</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0.793</w:t>
            </w:r>
          </w:p>
        </w:tc>
      </w:tr>
      <w:tr>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0.867</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0.763</w:t>
            </w:r>
          </w:p>
        </w:tc>
      </w:tr>
      <w:tr>
        <w:tc>
          <w:tcPr>
            <w:tcBorders>
              <w:left w:val="nil"/>
              <w:right w:val="nil"/>
              <w:top w:val="nil"/>
              <w:bottom w:val="nil"/>
            </w:tcBorders>
            <w:shd w:val="clear" w:color="auto" w:fill="D8F5DD"/>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0.793</w:t>
            </w:r>
          </w:p>
        </w:tc>
        <w:tc>
          <w:tcPr>
            <w:tcBorders>
              <w:left w:val="nil"/>
              <w:right w:val="nil"/>
              <w:top w:val="nil"/>
              <w:bottom w:val="nil"/>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0.694</w:t>
            </w:r>
          </w:p>
        </w:tc>
      </w:tr>
    </w:tbl>
    <w:p>
      <w:pPr>
        <w:pStyle w:val="BodyText"/>
        <w:spacing w:before="16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The robustness extends to a geographically independent source: applying the NIH-trained model to PadChest, a Spanish cohort never seen during training, deferral improves retained balanced accuracy for Effusion (+0.054 [0.010, 0.091]), Edema (+0.090 [0.058, 0.110]), and Consolidation (+0.081 [0.059, 0.095]), all with 95% confidence intervals excluding zero. Selective prediction therefore provides a safeguard precisely where it is most needed, on out-of-distribution inputs.</w:t>
      </w:r>
    </w:p>
    <w:p>
      <w:pPr>
        <w:spacing w:before="160" w:after="60" w:line="240" w:lineRule="auto"/>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0.632</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0.672</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+0.040 [0.028, 0.053]</w:t>
            </w:r>
          </w:p>
        </w:tc>
      </w:tr>
      <w:tr>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0.716</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0.789</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+0.073 [0.062, 0.084]</w:t>
            </w:r>
          </w:p>
        </w:tc>
      </w:tr>
      <w:tr>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0.673</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0.755</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+0.083 [0.076, 0.088]</w:t>
            </w:r>
          </w:p>
        </w:tc>
      </w:tr>
      <w:tr>
        <w:tc>
          <w:tcPr>
            <w:tcBorders>
              <w:left w:val="nil"/>
              <w:right w:val="nil"/>
              <w:top w:val="nil"/>
              <w:bottom w:val="nil"/>
            </w:tcBorders>
            <w:shd w:val="clear" w:color="auto" w:fill="D8F5DD"/>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0.619</w:t>
            </w:r>
          </w:p>
        </w:tc>
        <w:tc>
          <w:tcPr>
            <w:tcBorders>
              <w:left w:val="nil"/>
              <w:right w:val="nil"/>
              <w:top w:val="nil"/>
              <w:bottom w:val="nil"/>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0.671</w:t>
            </w:r>
          </w:p>
        </w:tc>
        <w:tc>
          <w:tcPr>
            <w:tcBorders>
              <w:left w:val="nil"/>
              <w:right w:val="nil"/>
              <w:top w:val="nil"/>
              <w:bottom w:val="nil"/>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+0.052 [0.030, 0.084]</w:t>
            </w:r>
          </w:p>
        </w:tc>
      </w:tr>
    </w:tbl>
    <w:bookmarkEnd w:id="35"/>
    <w:bookmarkStart w:id="39"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5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pStyle w:val="BodyText"/>
        <w:jc w:val="center"/>
        <w:keepNext/>
        <w:keepLines/>
        <w:widowControl w:val="1"/>
      </w:pPr>
      <w:r>
        <w:drawing>
          <wp:inline>
            <wp:extent cx="5943600" cy="2053243"/>
            <wp:effectExtent b="0" l="0" r="0" t="0"/>
            <wp:docPr descr="threshold sensitivity" title="" id="37" name="Picture"/>
            <a:graphic>
              <a:graphicData uri="http://schemas.openxmlformats.org/drawingml/2006/picture">
                <pic:pic>
                  <pic:nvPicPr>
                    <pic:cNvPr descr="assets/e4_threshold_sweep_nih22k.png" id="38" name="Picture"/>
                    <pic:cNvPicPr>
                      <a:picLocks noChangeArrowheads="1" noChangeAspect="1"/>
                    </pic:cNvPicPr>
                  </pic:nvPicPr>
                  <pic:blipFill>
                    <a:blip r:embed="rId36"/>
                    <a:stretch>
                      <a:fillRect/>
                    </a:stretch>
                  </pic:blipFill>
                  <pic:spPr bwMode="auto">
                    <a:xfrm>
                      <a:off x="0" y="0"/>
                      <a:ext cx="5943600" cy="2053243"/>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5:</w:t>
      </w:r>
      <w:r>
        <w:rPr>
          <w:b w:val="0"/>
          <w:i/>
        </w:rPr>
        <w:t xml:space="preserve"> </w:t>
      </w:r>
      <w:r>
        <w:rPr>
          <w:b w:val="0"/>
          <w:i/>
        </w:rPr>
        <w:t>Threshold sensitivity. Rejection rate and retained performance as a function of the calibration percentile.</w:t>
      </w:r>
    </w:p>
    <w:bookmarkEnd w:id="39"/>
    <w:bookmarkStart w:id="46"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t xml:space="preserve">The decision regions of accepted and deferred predictions can be examined directly. Input-gradient sensitivity provides one view: we compute the saliency map of a prediction, recompute it after low-variance Gaussian perturbation of the input, and measure stability by the signal-to-noise ratio between the two maps. Confident accepted predictions yield stable saliency maps, whereas borderline deferred predictions show substantial gradient change under the same perturbation (Figure 6), indicating an unstable decision surface near the boundary.</w:t>
      </w:r>
    </w:p>
    <w:p>
      <w:pPr>
        <w:pStyle w:val="BodyText"/>
        <w:jc w:val="center"/>
        <w:keepNext/>
        <w:keepLines/>
        <w:widowControl w:val="1"/>
      </w:pPr>
      <w:r>
        <w:drawing>
          <wp:inline>
            <wp:extent cx="4632960" cy="6949440"/>
            <wp:effectExtent b="0" l="0" r="0" t="0"/>
            <wp:docPr descr="gradient volatility accepted vs rejected" title="" id="41" name="Picture"/>
            <a:graphic>
              <a:graphicData uri="http://schemas.openxmlformats.org/drawingml/2006/picture">
                <pic:pic>
                  <pic:nvPicPr>
                    <pic:cNvPr descr="assets/gradvol_nih.png" id="42" name="Picture"/>
                    <pic:cNvPicPr>
                      <a:picLocks noChangeArrowheads="1" noChangeAspect="1"/>
                    </pic:cNvPicPr>
                  </pic:nvPicPr>
                  <pic:blipFill>
                    <a:blip r:embed="rId40"/>
                    <a:stretch>
                      <a:fillRect/>
                    </a:stretch>
                  </pic:blipFill>
                  <pic:spPr bwMode="auto">
                    <a:xfrm>
                      <a:off x="0" y="0"/>
                      <a:ext cx="4632960" cy="694944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6:</w:t>
      </w:r>
      <w:r>
        <w:rPr>
          <w:b w:val="0"/>
          <w:i/>
        </w:rPr>
        <w:t xml:space="preserve"> </w:t>
      </w:r>
      <w:r>
        <w:rPr>
          <w:b w:val="0"/>
          <w:i/>
          <w:highlight w:val="green"/>
        </w:rPr>
        <w:t>Gradient volatility for accepted (top) versus deferred (bottom) predictions. Each row shows the input-gradient saliency map, the map after low-variance Gaussian perturbation, and their difference. Accepted predictions are stable (high signal-to-noise ratio); deferred predictions change substantially under the same perturbation (low signal-to-noise ratio).</w:t>
      </w:r>
    </w:p>
    <w:p>
      <w:pPr>
        <w:pStyle w:val="BodyText"/>
        <w:jc w:val="both"/>
        <w:keepNext w:val="0"/>
        <w:keepLines w:val="0"/>
        <w:widowControl w:val="1"/>
      </w:pPr>
      <w:r>
        <w:rPr>
          <w:highlight w:val="green"/>
        </w:rPr>
        <w:t xml:space="preserve">Grad-CAM offers a complementary spatial view (Figure 7):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44" name="Picture"/>
            <a:graphic>
              <a:graphicData uri="http://schemas.openxmlformats.org/drawingml/2006/picture">
                <pic:pic>
                  <pic:nvPicPr>
                    <pic:cNvPr descr="assets/e5_gradcam_nih.png" id="45" name="Picture"/>
                    <pic:cNvPicPr>
                      <a:picLocks noChangeArrowheads="1" noChangeAspect="1"/>
                    </pic:cNvPicPr>
                  </pic:nvPicPr>
                  <pic:blipFill>
                    <a:blip r:embed="rId43"/>
                    <a:stretch>
                      <a:fillRect/>
                    </a:stretch>
                  </pic:blipFill>
                  <pic:spPr bwMode="auto">
                    <a:xfrm>
                      <a:off x="0" y="0"/>
                      <a:ext cx="5943600" cy="4188822"/>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7:</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6"/>
    <w:bookmarkEnd w:id="47"/>
    <w:bookmarkStart w:id="48"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across all four conditions, across datasets, and across training regimes, and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t xml:space="preserve">Together these findings support uncertainty-aware selective prediction as a route to safer, more trustworthy AI-assisted diagnosis.</w:t>
      </w:r>
    </w:p>
    <w:bookmarkEnd w:id="48"/>
    <w:bookmarkStart w:id="49"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Two boundary conditions scope these results: the evaluation covers four thoracic findings and frontal views, and multimodal inputs and additional findings remain for future work.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49"/>
    <w:bookmarkStart w:id="50"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0"/>
    <w:bookmarkStart w:id="51"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1"/>
    <w:bookmarkStart w:id="52" w:name="references"/>
    <w:p>
      <w:pPr>
        <w:pStyle w:val="ReferencesHeading"/>
        <w:jc w:val="left"/>
        <w:keepNext/>
        <w:keepLines/>
        <w:widowControl w:val="1"/>
      </w:pPr>
      <w:r>
        <w:t xml:space="preserve">References</w:t>
      </w:r>
    </w:p>
    <w:p>
      <w:pPr>
        <w:pStyle w:val="ReferenceEntry"/>
        <w:numPr>
          <w:ilvl w:val="0"/>
          <w:numId w:val="1001"/>
        </w:numPr>
        <w:jc w:val="left"/>
        <w:keepNext w:val="0"/>
        <w:keepLines w:val="0"/>
        <w:widowControl w:val="1"/>
      </w:pP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jc w:val="left"/>
        <w:keepNext w:val="0"/>
        <w:keepLines w:val="0"/>
        <w:widowControl w:val="1"/>
      </w:pP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jc w:val="left"/>
        <w:keepNext w:val="0"/>
        <w:keepLines w:val="0"/>
        <w:widowControl w:val="1"/>
      </w:pP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Rajpurkar, P., et al. (2017). CheXNet: Radiologist-level pneumonia detection on chest X-rays with deep learning. arXiv:1711.05225.</w:t>
      </w:r>
    </w:p>
    <w:p>
      <w:pPr>
        <w:pStyle w:val="ReferenceEntry"/>
        <w:numPr>
          <w:ilvl w:val="0"/>
          <w:numId w:val="1001"/>
        </w:numPr>
        <w:jc w:val="left"/>
        <w:keepNext w:val="0"/>
        <w:keepLines w:val="0"/>
        <w:widowControl w:val="1"/>
      </w:pP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jc w:val="left"/>
        <w:keepNext w:val="0"/>
        <w:keepLines w:val="0"/>
        <w:widowControl w:val="1"/>
      </w:pP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jc w:val="left"/>
        <w:keepNext w:val="0"/>
        <w:keepLines w:val="0"/>
        <w:widowControl w:val="1"/>
      </w:pP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jc w:val="left"/>
        <w:keepNext w:val="0"/>
        <w:keepLines w:val="0"/>
        <w:widowControl w:val="1"/>
      </w:pP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jc w:val="left"/>
        <w:keepNext w:val="0"/>
        <w:keepLines w:val="0"/>
        <w:widowControl w:val="1"/>
      </w:pPr>
      <w:r>
        <w:t xml:space="preserve">Cohen, J. P., Viviano, J., Morrison, P., Brooks, R., Hashir, M., Bertrand, H. (2020). TorchXRayVision: A library of chest X-ray datasets and models.</w:t>
      </w:r>
    </w:p>
    <w:p>
      <w:pPr>
        <w:pStyle w:val="ReferenceEntry"/>
        <w:numPr>
          <w:ilvl w:val="0"/>
          <w:numId w:val="1001"/>
        </w:numPr>
        <w:jc w:val="left"/>
        <w:keepNext w:val="0"/>
        <w:keepLines w:val="0"/>
        <w:widowControl w:val="1"/>
      </w:pPr>
      <w:r>
        <w:t xml:space="preserve">Wang, X., et al. (2017). ChestX-ray8.</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Johnson, A. E., et al. (2019). MIMIC-CXR-JPG, a large publicly available database of labeled chest radiographs. arXiv:1901.07042.</w:t>
      </w:r>
    </w:p>
    <w:p>
      <w:pPr>
        <w:pStyle w:val="ReferenceEntry"/>
        <w:numPr>
          <w:ilvl w:val="0"/>
          <w:numId w:val="1001"/>
        </w:numPr>
        <w:jc w:val="left"/>
        <w:keepNext w:val="0"/>
        <w:keepLines w:val="0"/>
        <w:widowControl w:val="1"/>
      </w:pP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jc w:val="left"/>
        <w:keepNext w:val="0"/>
        <w:keepLines w:val="0"/>
        <w:widowControl w:val="1"/>
      </w:pP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jc w:val="left"/>
        <w:keepNext w:val="0"/>
        <w:keepLines w:val="0"/>
        <w:widowControl w:val="1"/>
      </w:pPr>
      <w:r>
        <w:t xml:space="preserve">Goodfellow, I. J., Shlens, J., Szegedy, C. (2014). Explaining and harnessing adversarial examples. arXiv:1412.6572.</w:t>
      </w:r>
    </w:p>
    <w:p>
      <w:pPr>
        <w:pStyle w:val="ReferenceEntry"/>
        <w:numPr>
          <w:ilvl w:val="0"/>
          <w:numId w:val="1001"/>
        </w:numPr>
        <w:jc w:val="left"/>
        <w:keepNext w:val="0"/>
        <w:keepLines w:val="0"/>
        <w:widowControl w:val="1"/>
      </w:pP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jc w:val="left"/>
        <w:keepNext w:val="0"/>
        <w:keepLines w:val="0"/>
        <w:widowControl w:val="1"/>
      </w:pP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jc w:val="left"/>
        <w:keepNext w:val="0"/>
        <w:keepLines w:val="0"/>
        <w:widowControl w:val="1"/>
      </w:pPr>
      <w:r>
        <w:t xml:space="preserve">Levy, D., et al. (2026). From Cold Start to Active Learning: Embedding-Based Scan Selection for Medical Image Segmentation. arXiv:2601.18532.</w:t>
      </w:r>
    </w:p>
    <w:p>
      <w:pPr>
        <w:pStyle w:val="ReferenceEntry"/>
        <w:numPr>
          <w:ilvl w:val="0"/>
          <w:numId w:val="1001"/>
        </w:numPr>
        <w:jc w:val="left"/>
        <w:keepNext w:val="0"/>
        <w:keepLines w:val="0"/>
        <w:widowControl w:val="1"/>
      </w:pP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jc w:val="left"/>
        <w:keepNext w:val="0"/>
        <w:keepLines w:val="0"/>
        <w:widowControl w:val="1"/>
      </w:pP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jc w:val="left"/>
        <w:keepNext w:val="0"/>
        <w:keepLines w:val="0"/>
        <w:widowControl w:val="1"/>
      </w:pP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jc w:val="left"/>
        <w:keepNext w:val="0"/>
        <w:keepLines w:val="0"/>
        <w:widowControl w:val="1"/>
      </w:pP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jc w:val="left"/>
        <w:keepNext w:val="0"/>
        <w:keepLines w:val="0"/>
        <w:widowControl w:val="1"/>
      </w:pP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jc w:val="left"/>
        <w:keepNext w:val="0"/>
        <w:keepLines w:val="0"/>
        <w:widowControl w:val="1"/>
      </w:pP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jc w:val="left"/>
        <w:keepNext w:val="0"/>
        <w:keepLines w:val="0"/>
        <w:widowControl w:val="1"/>
      </w:pPr>
      <w:r>
        <w:t xml:space="preserve">Cattelan, L., Silva, R. (2024). How to fix a broken confidence estimator: A simple approach for post-hoc deep model calibration.</w:t>
      </w:r>
      <w:r>
        <w:t xml:space="preserve"> </w:t>
      </w:r>
      <w:r>
        <w:rPr>
          <w:i/>
          <w:iCs/>
        </w:rPr>
        <w:t xml:space="preserve">UAI 2024</w:t>
      </w:r>
      <w:r>
        <w:t xml:space="preserve">.</w:t>
      </w:r>
    </w:p>
    <w:p>
      <w:pPr>
        <w:pStyle w:val="ReferenceEntry"/>
        <w:numPr>
          <w:ilvl w:val="0"/>
          <w:numId w:val="1001"/>
        </w:numPr>
        <w:jc w:val="left"/>
        <w:keepNext w:val="0"/>
        <w:keepLines w:val="0"/>
        <w:widowControl w:val="1"/>
      </w:pPr>
      <w:r>
        <w:t xml:space="preserve">Rabanser, S., Thudi, A., Hamidieh, K., Dziedzic, A., Papernot, N. (2022). Selective classification via neural network training dynamics.</w:t>
      </w:r>
      <w:r>
        <w:t xml:space="preserve"> </w:t>
      </w:r>
      <w:r>
        <w:rPr>
          <w:i/>
          <w:iCs/>
        </w:rPr>
        <w:t xml:space="preserve">UAI 2022</w:t>
      </w:r>
      <w:r>
        <w:t xml:space="preserve">.</w:t>
      </w:r>
    </w:p>
    <w:p>
      <w:pPr>
        <w:pStyle w:val="ReferenceEntry"/>
        <w:numPr>
          <w:ilvl w:val="0"/>
          <w:numId w:val="1001"/>
        </w:numPr>
        <w:jc w:val="left"/>
        <w:keepNext w:val="0"/>
        <w:keepLines w:val="0"/>
        <w:widowControl w:val="1"/>
      </w:pP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jc w:val="left"/>
        <w:keepNext w:val="0"/>
        <w:keepLines w:val="0"/>
        <w:widowControl w:val="1"/>
      </w:pP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jc w:val="left"/>
        <w:keepNext w:val="0"/>
        <w:keepLines w:val="0"/>
        <w:widowControl w:val="1"/>
      </w:pP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jc w:val="left"/>
        <w:keepNext w:val="0"/>
        <w:keepLines w:val="0"/>
        <w:widowControl w:val="1"/>
      </w:pP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jc w:val="left"/>
        <w:keepNext w:val="0"/>
        <w:keepLines w:val="0"/>
        <w:widowControl w:val="1"/>
      </w:pP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jc w:val="left"/>
        <w:keepNext w:val="0"/>
        <w:keepLines w:val="0"/>
        <w:widowControl w:val="1"/>
      </w:pP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jc w:val="left"/>
        <w:keepNext w:val="0"/>
        <w:keepLines w:val="0"/>
        <w:widowControl w:val="1"/>
      </w:pP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jc w:val="left"/>
        <w:keepNext w:val="0"/>
        <w:keepLines w:val="0"/>
        <w:widowControl w:val="1"/>
      </w:pP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2"/>
    <w:bookmarkEnd w:id="53"/>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36" Type="http://schemas.openxmlformats.org/officeDocument/2006/relationships/image" Target="media/rId36.png"/><Relationship Id="rId43" Type="http://schemas.openxmlformats.org/officeDocument/2006/relationships/image" Target="media/rId43.png"/><Relationship Id="rId18" Type="http://schemas.openxmlformats.org/officeDocument/2006/relationships/image" Target="media/rId18.png"/><Relationship Id="rId40" Type="http://schemas.openxmlformats.org/officeDocument/2006/relationships/image" Target="media/rId40.png"/><Relationship Id="rId10" Type="http://schemas.openxmlformats.org/officeDocument/2006/relationships/image" Target="media/rId10.png"/><Relationship Id="rId27" Type="http://schemas.openxmlformats.org/officeDocument/2006/relationships/image" Target="media/rId2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2026-06-03T06:03:41Z</dcterms:created>
  <dcterms:modified xsi:type="dcterms:W3CDTF">2026-06-03T06:03:41Z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