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[12]; we adopt the corresponding TorchXRayVision backbone [9] and augment it with a rejection mechanism.</w:t>
      </w:r>
      <w:r>
        <w:t xml:space="preserve"> </w:t>
      </w:r>
      <w:r>
        <w:rPr>
          <w:highlight w:val="yellow"/>
        </w:rPr>
        <w:t xml:space="preserve">Cross-domain generalization in this setting is known to be fragile: Zech et al. [13] show that models can exploit hospital-specific confounders and degrade across acquisition sites, and Cohen et al. [12] attribute much of the cross-dataset gap to label shift rather than to a shift in the images themselves. Ovadia et al. [14]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[15] and machine learning [16] shows that increased uncertainty leads to greater sensitivity to small perturbations, often indicating operation near a decision boundary. Such instability motivates analyzing perturbation responses as a diagnostic tool [17] and is frequently leveraged in active learning [18],[19], where uncertain samples are prioritized for annotation. Selective classification, the reject option, allows a model to abstain on uncertain inputs to reduce errors. Chow [20] formalized the error-reject trade-off, and Cortes et al. [21] developed frameworks for learning with a reject option. For deep networks, Geifman and El-Yaniv [22] introduced a risk-coverage framework that thresholds the maximal softmax response to guarantee a user-specified error rate, and proposed SelectiveNet [23],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[22]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[28] emphasize that machine learning systems in healthcare should be able to say "I do not know" for high-uncertainty cases, and survey abstention methods. Faghani et al. [29] outline emerging trends in uncertainty quantification for medical imaging, noting that an uncertainty measure allows experts to re-evaluate doubtful cases. In chest radiography specifically, Whata et al. [30] developed a Bayesian CNN that quantifies predictive uncertainty for multi-class classification, and Das et al. [31]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[32]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[20] and the risk-coverage view [22],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[14] and cross-site generalization [13].</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[13], and with label-definition shift between sources rather than a shift in the images themselves [12].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[33],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12.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14.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sz w:val="19"/>
          <w:highlight w:val="yellow"/>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29.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30.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31.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32.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2026-06-06T05:01:40Z</dcterms:created>
  <dcterms:modified xsi:type="dcterms:W3CDTF">2026-06-06T05:01:40Z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