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19"/>
        </w:rPr>
        <w:t xml:space="preserve">Yehudit Aperstein</w:t>
      </w:r>
      <w:r>
        <w:rPr>
          <w:rFonts w:ascii="Times New Roman" w:hAnsi="Times New Roman"/>
          <w:b w:val="0"/>
          <w:i/>
          <w:sz w:val="19"/>
          <w:vertAlign w:val="superscript"/>
        </w:rPr>
        <w:t xml:space="preserve">1,*</w:t>
      </w:r>
      <w:r>
        <w:rPr>
          <w:rFonts w:ascii="Times New Roman" w:hAnsi="Times New Roman"/>
          <w:b w:val="0"/>
          <w:i/>
          <w:sz w:val="19"/>
        </w:rPr>
        <w:t xml:space="preserve">, Amit Tzahar</w:t>
      </w:r>
      <w:r>
        <w:rPr>
          <w:rFonts w:ascii="Times New Roman" w:hAnsi="Times New Roman"/>
          <w:b w:val="0"/>
          <w:i/>
          <w:sz w:val="19"/>
          <w:vertAlign w:val="superscript"/>
        </w:rPr>
        <w:t xml:space="preserve">1</w:t>
      </w:r>
      <w:r>
        <w:rPr>
          <w:rFonts w:ascii="Times New Roman" w:hAnsi="Times New Roman"/>
          <w:b w:val="0"/>
          <w:i/>
          <w:sz w:val="19"/>
        </w:rPr>
        <w:t xml:space="preserve">, Alon Gottlib</w:t>
      </w:r>
      <w:r>
        <w:rPr>
          <w:rFonts w:ascii="Times New Roman" w:hAnsi="Times New Roman"/>
          <w:b w:val="0"/>
          <w:i/>
          <w:sz w:val="19"/>
          <w:vertAlign w:val="superscript"/>
        </w:rPr>
        <w:t xml:space="preserve">1</w:t>
      </w:r>
      <w:r>
        <w:rPr>
          <w:rFonts w:ascii="Times New Roman" w:hAnsi="Times New Roman"/>
          <w:b w:val="0"/>
          <w:i/>
          <w:sz w:val="19"/>
        </w:rPr>
        <w:t xml:space="preserve">, Tal Verber</w:t>
      </w:r>
      <w:r>
        <w:rPr>
          <w:rFonts w:ascii="Times New Roman" w:hAnsi="Times New Roman"/>
          <w:b w:val="0"/>
          <w:i/>
          <w:sz w:val="19"/>
          <w:vertAlign w:val="superscript"/>
        </w:rPr>
        <w:t xml:space="preserve">1</w:t>
      </w:r>
      <w:r>
        <w:rPr>
          <w:rFonts w:ascii="Times New Roman" w:hAnsi="Times New Roman"/>
          <w:b w:val="0"/>
          <w:i/>
          <w:sz w:val="19"/>
        </w:rPr>
        <w:t xml:space="preserve">, Ravit Shagan Damti</w:t>
      </w:r>
      <w:r>
        <w:rPr>
          <w:rFonts w:ascii="Times New Roman" w:hAnsi="Times New Roman"/>
          <w:b w:val="0"/>
          <w:i/>
          <w:sz w:val="19"/>
          <w:vertAlign w:val="superscript"/>
        </w:rPr>
        <w:t xml:space="preserve">1</w:t>
      </w:r>
      <w:r>
        <w:rPr>
          <w:rFonts w:ascii="Times New Roman" w:hAnsi="Times New Roman"/>
          <w:b w:val="0"/>
          <w:i/>
          <w:sz w:val="19"/>
        </w:rPr>
        <w:t xml:space="preserve">, Alexander Apartsin</w:t>
      </w:r>
      <w:r>
        <w:rPr>
          <w:rFonts w:ascii="Times New Roman" w:hAnsi="Times New Roman"/>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on the geographically independent PadChest cohort, and on an independently trained model.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446201"/>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6400800" cy="2446201"/>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120" w:after="60" w:line="240" w:lineRule="auto"/>
        <w:keepNext/>
        <w:keepLines/>
        <w:widowControl w:val="1"/>
      </w:pPr>
      <w:r>
        <w:rPr>
          <w:b/>
          <w:i/>
        </w:rPr>
        <w:t>Table 1:</w:t>
      </w:r>
      <w:r>
        <w:rPr>
          <w:b w:val="0"/>
          <w:i/>
        </w:rPr>
        <w:t xml:space="preserve"> </w:t>
      </w:r>
      <w:r>
        <w:rPr>
          <w:b w:val="0"/>
          <w:i/>
        </w:rPr>
        <w:t>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1255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Multi-Pathology</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1661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6.8</w:t>
            </w:r>
          </w:p>
        </w:tc>
      </w:tr>
    </w:tbl>
    <w:p>
      <w:pPr>
        <w:pStyle w:val="BodyText"/>
        <w:jc w:val="center"/>
        <w:keepNext/>
        <w:keepLines/>
        <w:widowControl w:val="1"/>
      </w:pPr>
      <w:r>
        <w:drawing>
          <wp:inline>
            <wp:extent cx="6400800" cy="1790805"/>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6400800" cy="1790805"/>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2:</w:t>
      </w:r>
      <w:r>
        <w:rPr>
          <w:b w:val="0"/>
          <w:i/>
        </w:rPr>
        <w:t xml:space="preserve"> </w:t>
      </w:r>
      <w:r>
        <w:rPr>
          <w:b w:val="0"/>
          <w:i/>
          <w:highlight w:val="green"/>
        </w:rPr>
        <w:t>Representative frontal chest radiographs for the four target pathologies, each shown for a case in which the corresponding label is present, illustrating the visual diversity and diagnostic subtlety of the findings.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to verify that the findings are not specific to that backbone, an independently trained weighted-BCE DenseNet-121 following the procedure above is also evaluated (Section 4.1).</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5)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47"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0"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120" w:after="60" w:line="240" w:lineRule="auto"/>
        <w:keepNext/>
        <w:keepLines/>
        <w:widowControl w:val="1"/>
      </w:pPr>
      <w:r>
        <w:rPr>
          <w:b/>
          <w:i/>
        </w:rPr>
        <w:t>Table 2:</w:t>
      </w:r>
      <w:r>
        <w:rPr>
          <w:b w:val="0"/>
          <w:i/>
        </w:rPr>
        <w:t xml:space="preserve"> </w:t>
      </w:r>
      <w:r>
        <w:rPr>
          <w:b w:val="0"/>
          <w:i/>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+0.082 [0.056, 0.113]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+0.043 [0.029, 0.060]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+0.086 [0.054, 0.125]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0.807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28" name="Picture"/>
            <a:graphic>
              <a:graphicData uri="http://schemas.openxmlformats.org/drawingml/2006/picture">
                <pic:pic>
                  <pic:nvPicPr>
                    <pic:cNvPr descr="assets/selective_bacc_nih22k.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Selective balanced accuracy as a function of coverage for each pathology. Balanced accuracy increases as the most uncertain predictions are deferred.</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geographically independent cohort.</w:t>
      </w:r>
    </w:p>
    <w:bookmarkEnd w:id="30"/>
    <w:bookmarkStart w:id="34"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4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2" name="Picture"/>
            <a:graphic>
              <a:graphicData uri="http://schemas.openxmlformats.org/drawingml/2006/picture">
                <pic:pic>
                  <pic:nvPicPr>
                    <pic:cNvPr descr="assets/e1_risk_coverage_nih22k.png" id="33" name="Picture"/>
                    <pic:cNvPicPr>
                      <a:picLocks noChangeArrowheads="1" noChangeAspect="1"/>
                    </pic:cNvPicPr>
                  </pic:nvPicPr>
                  <pic:blipFill>
                    <a:blip r:embed="rId31"/>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Risk-coverage curves per pathology. The retained-prediction performance is traced against coverage as the entropy threshold varies.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4"/>
    <w:bookmarkStart w:id="35"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120" w:after="60" w:line="240" w:lineRule="auto"/>
        <w:keepNext/>
        <w:keepLines/>
        <w:widowControl w:val="1"/>
      </w:pPr>
      <w:r>
        <w:rPr>
          <w:b/>
          <w:i/>
        </w:rPr>
        <w:t>Table 3:</w:t>
      </w:r>
      <w:r>
        <w:rPr>
          <w:b w:val="0"/>
          <w:i/>
        </w:rPr>
        <w:t xml:space="preserve"> </w:t>
      </w:r>
      <w:r>
        <w:rPr>
          <w:b w:val="0"/>
          <w:i/>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0.793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0.694</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120" w:after="60" w:line="240" w:lineRule="auto"/>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+0.040 [0.028, 0.053]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 [0.062, 0.084]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+0.083 [0.076, 0.088]</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0.619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0.671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+0.052 [0.030, 0.084]</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5"/>
    <w:bookmarkStart w:id="39"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5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211185"/>
            <wp:effectExtent b="0" l="0" r="0" t="0"/>
            <wp:docPr descr="threshold sensitivity" title="" id="37" name="Picture"/>
            <a:graphic>
              <a:graphicData uri="http://schemas.openxmlformats.org/drawingml/2006/picture">
                <pic:pic>
                  <pic:nvPicPr>
                    <pic:cNvPr descr="assets/e4_threshold_sweep_nih22k.png" id="38" name="Picture"/>
                    <pic:cNvPicPr>
                      <a:picLocks noChangeArrowheads="1" noChangeAspect="1"/>
                    </pic:cNvPicPr>
                  </pic:nvPicPr>
                  <pic:blipFill>
                    <a:blip r:embed="rId36"/>
                    <a:stretch>
                      <a:fillRect/>
                    </a:stretch>
                  </pic:blipFill>
                  <pic:spPr bwMode="auto">
                    <a:xfrm>
                      <a:off x="0" y="0"/>
                      <a:ext cx="6400800" cy="2211185"/>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5:</w:t>
      </w:r>
      <w:r>
        <w:rPr>
          <w:b w:val="0"/>
          <w:i/>
        </w:rPr>
        <w:t xml:space="preserve"> </w:t>
      </w:r>
      <w:r>
        <w:rPr>
          <w:b w:val="0"/>
          <w:i/>
        </w:rPr>
        <w:t>Threshold sensitivity. Rejection rate and retained performance as a function of the calibration percentile.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9"/>
    <w:bookmarkStart w:id="46"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directly. Input-gradient sensitivity provides one view: we compute the saliency map of a prediction, recompute it after low-variance Gaussian perturbation of the input, and measure stability by the signal-to-noise ratio between the two maps. Confident accepted predictions yield stable saliency maps, whereas borderline deferred predictions show substantial gradient change under the same perturbation (Figure 6), indicating an unstable decision surface near the boundary.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937760" cy="7406640"/>
            <wp:effectExtent b="0" l="0" r="0" t="0"/>
            <wp:docPr descr="gradient volatility accepted vs rejected" title="" id="41" name="Picture"/>
            <a:graphic>
              <a:graphicData uri="http://schemas.openxmlformats.org/drawingml/2006/picture">
                <pic:pic>
                  <pic:nvPicPr>
                    <pic:cNvPr descr="assets/gradvol_nih.png" id="42" name="Picture"/>
                    <pic:cNvPicPr>
                      <a:picLocks noChangeArrowheads="1" noChangeAspect="1"/>
                    </pic:cNvPicPr>
                  </pic:nvPicPr>
                  <pic:blipFill>
                    <a:blip r:embed="rId40"/>
                    <a:stretch>
                      <a:fillRect/>
                    </a:stretch>
                  </pic:blipFill>
                  <pic:spPr bwMode="auto">
                    <a:xfrm>
                      <a:off x="0" y="0"/>
                      <a:ext cx="4937760" cy="740664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6:</w:t>
      </w:r>
      <w:r>
        <w:rPr>
          <w:b w:val="0"/>
          <w:i/>
        </w:rPr>
        <w:t xml:space="preserve"> </w:t>
      </w:r>
      <w:r>
        <w:rPr>
          <w:b w:val="0"/>
          <w:i/>
          <w:highlight w:val="green"/>
        </w:rPr>
        <w:t>Gradient volatility for accepted (top) versus deferred (bottom) predictions. Each row shows the input-gradient saliency map, the map after low-variance Gaussian perturbation, and their difference. Accepted predictions are stable (high signal-to-noise ratio); deferred predictions change substantially under the same perturbation (low signal-to-noise ratio).</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Grad-CAM offers a complementary spatial view (Figure 7): for confident accepted predictions the activation concentrates over the lung fields, whereas borderline deferred predictions show more diffuse activation, consistent with the uncertainty-driven abstention used throughout this work.</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511039"/>
            <wp:effectExtent b="0" l="0" r="0" t="0"/>
            <wp:docPr descr="Grad-CAM borderline vs confident" title="" id="44" name="Picture"/>
            <a:graphic>
              <a:graphicData uri="http://schemas.openxmlformats.org/drawingml/2006/picture">
                <pic:pic>
                  <pic:nvPicPr>
                    <pic:cNvPr descr="assets/e5_gradcam_nih.png" id="45" name="Picture"/>
                    <pic:cNvPicPr>
                      <a:picLocks noChangeArrowheads="1" noChangeAspect="1"/>
                    </pic:cNvPicPr>
                  </pic:nvPicPr>
                  <pic:blipFill>
                    <a:blip r:embed="rId43"/>
                    <a:stretch>
                      <a:fillRect/>
                    </a:stretch>
                  </pic:blipFill>
                  <pic:spPr bwMode="auto">
                    <a:xfrm>
                      <a:off x="0" y="0"/>
                      <a:ext cx="6400800" cy="4511039"/>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7:</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6"/>
    <w:bookmarkEnd w:id="47"/>
    <w:bookmarkStart w:id="48"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48"/>
    <w:bookmarkStart w:id="49"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49"/>
    <w:bookmarkStart w:id="50"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0"/>
    <w:bookmarkStart w:id="51"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1"/>
    <w:bookmarkStart w:id="52" w:name="reference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jc w:val="left"/>
        <w:keepNext w:val="0"/>
        <w:keepLines w:val="0"/>
        <w:widowControl w:val="1"/>
      </w:pP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jc w:val="left"/>
        <w:keepNext w:val="0"/>
        <w:keepLines w:val="0"/>
        <w:widowControl w:val="1"/>
      </w:pP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Rajpurkar, P., et al. (2017). CheXNet: Radiologist-level pneumonia detection on chest X-rays with deep learning. arXiv:1711.05225.</w:t>
      </w:r>
    </w:p>
    <w:p>
      <w:pPr>
        <w:pStyle w:val="ReferenceEntry"/>
        <w:numPr>
          <w:ilvl w:val="0"/>
          <w:numId w:val="1001"/>
        </w:numPr>
        <w:jc w:val="left"/>
        <w:keepNext w:val="0"/>
        <w:keepLines w:val="0"/>
        <w:widowControl w:val="1"/>
      </w:pP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jc w:val="left"/>
        <w:keepNext w:val="0"/>
        <w:keepLines w:val="0"/>
        <w:widowControl w:val="1"/>
      </w:pP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jc w:val="left"/>
        <w:keepNext w:val="0"/>
        <w:keepLines w:val="0"/>
        <w:widowControl w:val="1"/>
      </w:pP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jc w:val="left"/>
        <w:keepNext w:val="0"/>
        <w:keepLines w:val="0"/>
        <w:widowControl w:val="1"/>
      </w:pP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jc w:val="left"/>
        <w:keepNext w:val="0"/>
        <w:keepLines w:val="0"/>
        <w:widowControl w:val="1"/>
      </w:pPr>
      <w:r>
        <w:t xml:space="preserve">Cohen, J. P., Viviano, J., Morrison, P., Brooks, R., Hashir, M., Bertrand, H. (2020). TorchXRayVision: A library of chest X-ray datasets and models.</w:t>
      </w:r>
    </w:p>
    <w:p>
      <w:pPr>
        <w:pStyle w:val="ReferenceEntry"/>
        <w:numPr>
          <w:ilvl w:val="0"/>
          <w:numId w:val="1001"/>
        </w:numPr>
        <w:jc w:val="left"/>
        <w:keepNext w:val="0"/>
        <w:keepLines w:val="0"/>
        <w:widowControl w:val="1"/>
      </w:pPr>
      <w:r>
        <w:t xml:space="preserve">Wang, X., et al. (2017). ChestX-ray8.</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Johnson, A. E., et al. (2019). MIMIC-CXR-JPG, a large publicly available database of labeled chest radiographs. arXiv:1901.07042.</w:t>
      </w:r>
    </w:p>
    <w:p>
      <w:pPr>
        <w:pStyle w:val="ReferenceEntry"/>
        <w:numPr>
          <w:ilvl w:val="0"/>
          <w:numId w:val="1001"/>
        </w:numPr>
        <w:jc w:val="left"/>
        <w:keepNext w:val="0"/>
        <w:keepLines w:val="0"/>
        <w:widowControl w:val="1"/>
      </w:pP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jc w:val="left"/>
        <w:keepNext w:val="0"/>
        <w:keepLines w:val="0"/>
        <w:widowControl w:val="1"/>
      </w:pP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jc w:val="left"/>
        <w:keepNext w:val="0"/>
        <w:keepLines w:val="0"/>
        <w:widowControl w:val="1"/>
      </w:pPr>
      <w:r>
        <w:t xml:space="preserve">Goodfellow, I. J., Shlens, J., Szegedy, C. (2014). Explaining and harnessing adversarial examples. arXiv:1412.6572.</w:t>
      </w:r>
    </w:p>
    <w:p>
      <w:pPr>
        <w:pStyle w:val="ReferenceEntry"/>
        <w:numPr>
          <w:ilvl w:val="0"/>
          <w:numId w:val="1001"/>
        </w:numPr>
        <w:jc w:val="left"/>
        <w:keepNext w:val="0"/>
        <w:keepLines w:val="0"/>
        <w:widowControl w:val="1"/>
      </w:pP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jc w:val="left"/>
        <w:keepNext w:val="0"/>
        <w:keepLines w:val="0"/>
        <w:widowControl w:val="1"/>
      </w:pP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jc w:val="left"/>
        <w:keepNext w:val="0"/>
        <w:keepLines w:val="0"/>
        <w:widowControl w:val="1"/>
      </w:pPr>
      <w:r>
        <w:t xml:space="preserve">Levy, D., et al. (2026). From Cold Start to Active Learning: Embedding-Based Scan Selection for Medical Image Segmentation. arXiv:2601.18532.</w:t>
      </w:r>
    </w:p>
    <w:p>
      <w:pPr>
        <w:pStyle w:val="ReferenceEntry"/>
        <w:numPr>
          <w:ilvl w:val="0"/>
          <w:numId w:val="1001"/>
        </w:numPr>
        <w:jc w:val="left"/>
        <w:keepNext w:val="0"/>
        <w:keepLines w:val="0"/>
        <w:widowControl w:val="1"/>
      </w:pP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jc w:val="left"/>
        <w:keepNext w:val="0"/>
        <w:keepLines w:val="0"/>
        <w:widowControl w:val="1"/>
      </w:pP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jc w:val="left"/>
        <w:keepNext w:val="0"/>
        <w:keepLines w:val="0"/>
        <w:widowControl w:val="1"/>
      </w:pP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jc w:val="left"/>
        <w:keepNext w:val="0"/>
        <w:keepLines w:val="0"/>
        <w:widowControl w:val="1"/>
      </w:pP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jc w:val="left"/>
        <w:keepNext w:val="0"/>
        <w:keepLines w:val="0"/>
        <w:widowControl w:val="1"/>
      </w:pP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jc w:val="left"/>
        <w:keepNext w:val="0"/>
        <w:keepLines w:val="0"/>
        <w:widowControl w:val="1"/>
      </w:pP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jc w:val="left"/>
        <w:keepNext w:val="0"/>
        <w:keepLines w:val="0"/>
        <w:widowControl w:val="1"/>
      </w:pP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jc w:val="left"/>
        <w:keepNext w:val="0"/>
        <w:keepLines w:val="0"/>
        <w:widowControl w:val="1"/>
      </w:pP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jc w:val="left"/>
        <w:keepNext w:val="0"/>
        <w:keepLines w:val="0"/>
        <w:widowControl w:val="1"/>
      </w:pP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jc w:val="left"/>
        <w:keepNext w:val="0"/>
        <w:keepLines w:val="0"/>
        <w:widowControl w:val="1"/>
      </w:pP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jc w:val="left"/>
        <w:keepNext w:val="0"/>
        <w:keepLines w:val="0"/>
        <w:widowControl w:val="1"/>
      </w:pP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jc w:val="left"/>
        <w:keepNext w:val="0"/>
        <w:keepLines w:val="0"/>
        <w:widowControl w:val="1"/>
      </w:pP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jc w:val="left"/>
        <w:keepNext w:val="0"/>
        <w:keepLines w:val="0"/>
        <w:widowControl w:val="1"/>
      </w:pP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jc w:val="left"/>
        <w:keepNext w:val="0"/>
        <w:keepLines w:val="0"/>
        <w:widowControl w:val="1"/>
      </w:pP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jc w:val="left"/>
        <w:keepNext w:val="0"/>
        <w:keepLines w:val="0"/>
        <w:widowControl w:val="1"/>
      </w:pP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jc w:val="left"/>
        <w:keepNext w:val="0"/>
        <w:keepLines w:val="0"/>
        <w:widowControl w:val="1"/>
      </w:pP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2"/>
    <w:bookmarkEnd w:id="53"/>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6" Type="http://schemas.openxmlformats.org/officeDocument/2006/relationships/image" Target="media/rId36.png"/><Relationship Id="rId43" Type="http://schemas.openxmlformats.org/officeDocument/2006/relationships/image" Target="media/rId43.png"/><Relationship Id="rId18" Type="http://schemas.openxmlformats.org/officeDocument/2006/relationships/image" Target="media/rId18.png"/><Relationship Id="rId40" Type="http://schemas.openxmlformats.org/officeDocument/2006/relationships/image" Target="media/rId40.png"/><Relationship Id="rId10" Type="http://schemas.openxmlformats.org/officeDocument/2006/relationships/image" Target="media/rId1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2026-06-03T05:56:45Z</dcterms:created>
  <dcterms:modified xsi:type="dcterms:W3CDTF">2026-06-03T05:56:45Z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