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19"/>
        </w:rPr>
        <w:t xml:space="preserve">Yehudit Aperstein</w:t>
      </w:r>
      <w:r>
        <w:rPr>
          <w:rFonts w:ascii="Times New Roman" w:hAnsi="Times New Roman"/>
          <w:b w:val="0"/>
          <w:i/>
          <w:sz w:val="19"/>
          <w:vertAlign w:val="superscript"/>
        </w:rPr>
        <w:t xml:space="preserve">1,*</w:t>
      </w:r>
      <w:r>
        <w:rPr>
          <w:rFonts w:ascii="Times New Roman" w:hAnsi="Times New Roman"/>
          <w:b w:val="0"/>
          <w:i/>
          <w:sz w:val="19"/>
        </w:rPr>
        <w:t xml:space="preserve">, Amit Tzahar</w:t>
      </w:r>
      <w:r>
        <w:rPr>
          <w:rFonts w:ascii="Times New Roman" w:hAnsi="Times New Roman"/>
          <w:b w:val="0"/>
          <w:i/>
          <w:sz w:val="19"/>
          <w:vertAlign w:val="superscript"/>
        </w:rPr>
        <w:t xml:space="preserve">1</w:t>
      </w:r>
      <w:r>
        <w:rPr>
          <w:rFonts w:ascii="Times New Roman" w:hAnsi="Times New Roman"/>
          <w:b w:val="0"/>
          <w:i/>
          <w:sz w:val="19"/>
        </w:rPr>
        <w:t xml:space="preserve">, Alon Gottlib</w:t>
      </w:r>
      <w:r>
        <w:rPr>
          <w:rFonts w:ascii="Times New Roman" w:hAnsi="Times New Roman"/>
          <w:b w:val="0"/>
          <w:i/>
          <w:sz w:val="19"/>
          <w:vertAlign w:val="superscript"/>
        </w:rPr>
        <w:t xml:space="preserve">1</w:t>
      </w:r>
      <w:r>
        <w:rPr>
          <w:rFonts w:ascii="Times New Roman" w:hAnsi="Times New Roman"/>
          <w:b w:val="0"/>
          <w:i/>
          <w:sz w:val="19"/>
        </w:rPr>
        <w:t xml:space="preserve">, Tal Verber</w:t>
      </w:r>
      <w:r>
        <w:rPr>
          <w:rFonts w:ascii="Times New Roman" w:hAnsi="Times New Roman"/>
          <w:b w:val="0"/>
          <w:i/>
          <w:sz w:val="19"/>
          <w:vertAlign w:val="superscript"/>
        </w:rPr>
        <w:t xml:space="preserve">1</w:t>
      </w:r>
      <w:r>
        <w:rPr>
          <w:rFonts w:ascii="Times New Roman" w:hAnsi="Times New Roman"/>
          <w:b w:val="0"/>
          <w:i/>
          <w:sz w:val="19"/>
        </w:rPr>
        <w:t xml:space="preserve">, Ravit Shagan Damti</w:t>
      </w:r>
      <w:r>
        <w:rPr>
          <w:rFonts w:ascii="Times New Roman" w:hAnsi="Times New Roman"/>
          <w:b w:val="0"/>
          <w:i/>
          <w:sz w:val="19"/>
          <w:vertAlign w:val="superscript"/>
        </w:rPr>
        <w:t xml:space="preserve">1</w:t>
      </w:r>
      <w:r>
        <w:rPr>
          <w:rFonts w:ascii="Times New Roman" w:hAnsi="Times New Roman"/>
          <w:b w:val="0"/>
          <w:i/>
          <w:sz w:val="19"/>
        </w:rPr>
        <w:t xml:space="preserve">, Alexander Apartsin</w:t>
      </w:r>
      <w:r>
        <w:rPr>
          <w:rFonts w:ascii="Times New Roman" w:hAnsi="Times New Roman"/>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446201"/>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6400800" cy="2446201"/>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rPr>
        <w:t>Table 1:</w:t>
      </w:r>
      <w:r>
        <w:rPr>
          <w:b w:val="0"/>
          <w:i/>
        </w:rPr>
        <w:t xml:space="preserve"> </w:t>
      </w:r>
      <w:r>
        <w:rPr>
          <w:b w:val="0"/>
          <w:i/>
        </w:rPr>
        <w:t>Class distribution of the evaluation data across the three sources (NIH ChestX-ray14, MIMIC-CXR, and PadChest; N = 17,367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17,36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573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3.3</w:t>
            </w:r>
          </w:p>
        </w:tc>
      </w:tr>
    </w:tbl>
    <w:p>
      <w:pPr>
        <w:pStyle w:val="BodyText"/>
        <w:jc w:val="center"/>
        <w:keepNext/>
        <w:keepLines/>
        <w:widowControl w:val="1"/>
      </w:pPr>
      <w:r>
        <w:drawing>
          <wp:inline>
            <wp:extent cx="6400800" cy="1790805"/>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6400800" cy="1790805"/>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2:</w:t>
      </w:r>
      <w:r>
        <w:rPr>
          <w:b w:val="0"/>
          <w:i/>
        </w:rPr>
        <w:t xml:space="preserve"> </w:t>
      </w:r>
      <w:r>
        <w:rPr>
          <w:b w:val="0"/>
          <w:i/>
          <w:highlight w:val="green"/>
        </w:rPr>
        <w:t>Representative frontal chest radiographs for the four target pathologies, each shown for a case in which the corresponding label is present, illustrating the visual diversity and diagnostic subtlety of the findings.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5)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47"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1,155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0"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rPr>
        <w:t>Table 2:</w:t>
      </w:r>
      <w:r>
        <w:rPr>
          <w:b w:val="0"/>
          <w:i/>
        </w:rPr>
        <w:t xml:space="preserve"> </w:t>
      </w:r>
      <w:r>
        <w:rPr>
          <w:b w:val="0"/>
          <w:i/>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8" name="Picture"/>
            <a:graphic>
              <a:graphicData uri="http://schemas.openxmlformats.org/drawingml/2006/picture">
                <pic:pic>
                  <pic:nvPicPr>
                    <pic:cNvPr descr="assets/selective_bacc_nih22k.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Selective balanced accuracy as a function of coverage for each pathology. Balanced accuracy increases as the most uncertain predictions are deferred.</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the same calibrated-threshold analysis yields supported balanced-accuracy gains for three of the four pathologies (Cardiomegaly +0.080 [0.039, 0.122], Effusion +0.064 [0.039, 0.097], Edema +0.090 [0.036, 0.144]; 95% confidence intervals excluding zero), and an independently trained weighted-BCE DenseNet-121 (Section 3.3; validation macro-AUC 0.85) reproduces the improvement on three of the four pathologies, with supported balanced-accuracy gains at a coverage of 0.70 of Cardiomegaly +0.077 [0.033, 0.131], Effusion +0.074 [0.045, 0.102], and Edema +0.094 [0.030, 0.169] (95% confidence intervals excluding zero), indicating the effect is not specific to one backbone or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bookmarkEnd w:id="30"/>
    <w:bookmarkStart w:id="34"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4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2" name="Picture"/>
            <a:graphic>
              <a:graphicData uri="http://schemas.openxmlformats.org/drawingml/2006/picture">
                <pic:pic>
                  <pic:nvPicPr>
                    <pic:cNvPr descr="assets/e1_risk_coverage_nih22k.png" id="33" name="Picture"/>
                    <pic:cNvPicPr>
                      <a:picLocks noChangeArrowheads="1" noChangeAspect="1"/>
                    </pic:cNvPicPr>
                  </pic:nvPicPr>
                  <pic:blipFill>
                    <a:blip r:embed="rId31"/>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Risk-coverage curves per pathology. The retained-prediction performance is traced against coverage as the entropy threshold varies.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4"/>
    <w:bookmarkStart w:id="35"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rPr>
        <w:t>Table 3:</w:t>
      </w:r>
      <w:r>
        <w:rPr>
          <w:b w:val="0"/>
          <w:i/>
        </w:rPr>
        <w:t xml:space="preserve"> </w:t>
      </w:r>
      <w:r>
        <w:rPr>
          <w:b w:val="0"/>
          <w:i/>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0.670</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+0.063 [0.025, 0.097]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+0.063 [0.034, 0.091]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+0.076 [0.050, 0.095]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0.585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0.618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+0.033 [0.026, 0.041]</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5"/>
    <w:bookmarkStart w:id="39"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5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211185"/>
            <wp:effectExtent b="0" l="0" r="0" t="0"/>
            <wp:docPr descr="threshold sensitivity" title="" id="37" name="Picture"/>
            <a:graphic>
              <a:graphicData uri="http://schemas.openxmlformats.org/drawingml/2006/picture">
                <pic:pic>
                  <pic:nvPicPr>
                    <pic:cNvPr descr="assets/e4_threshold_sweep_nih22k.png" id="38" name="Picture"/>
                    <pic:cNvPicPr>
                      <a:picLocks noChangeArrowheads="1" noChangeAspect="1"/>
                    </pic:cNvPicPr>
                  </pic:nvPicPr>
                  <pic:blipFill>
                    <a:blip r:embed="rId36"/>
                    <a:stretch>
                      <a:fillRect/>
                    </a:stretch>
                  </pic:blipFill>
                  <pic:spPr bwMode="auto">
                    <a:xfrm>
                      <a:off x="0" y="0"/>
                      <a:ext cx="6400800" cy="2211185"/>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5:</w:t>
      </w:r>
      <w:r>
        <w:rPr>
          <w:b w:val="0"/>
          <w:i/>
        </w:rPr>
        <w:t xml:space="preserve"> </w:t>
      </w:r>
      <w:r>
        <w:rPr>
          <w:b w:val="0"/>
          <w:i/>
        </w:rPr>
        <w:t>Threshold sensitivity. Rejection rate and retained performance as a function of the calibration percentile.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9"/>
    <w:bookmarkStart w:id="46"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6), indicating an unstable decision surface near the boundary.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937760" cy="7406640"/>
            <wp:effectExtent b="0" l="0" r="0" t="0"/>
            <wp:docPr descr="gradient volatility accepted vs rejected" title="" id="41" name="Picture"/>
            <a:graphic>
              <a:graphicData uri="http://schemas.openxmlformats.org/drawingml/2006/picture">
                <pic:pic>
                  <pic:nvPicPr>
                    <pic:cNvPr descr="assets/gradvol_nih.png" id="42" name="Picture"/>
                    <pic:cNvPicPr>
                      <a:picLocks noChangeArrowheads="1" noChangeAspect="1"/>
                    </pic:cNvPicPr>
                  </pic:nvPicPr>
                  <pic:blipFill>
                    <a:blip r:embed="rId40"/>
                    <a:stretch>
                      <a:fillRect/>
                    </a:stretch>
                  </pic:blipFill>
                  <pic:spPr bwMode="auto">
                    <a:xfrm>
                      <a:off x="0" y="0"/>
                      <a:ext cx="4937760" cy="74066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6:</w:t>
      </w:r>
      <w:r>
        <w:rPr>
          <w:b w:val="0"/>
          <w:i/>
        </w:rPr>
        <w:t xml:space="preserve"> </w:t>
      </w:r>
      <w:r>
        <w:rPr>
          <w:b w:val="0"/>
          <w:i/>
          <w:highlight w:val="green"/>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Grad-CAM offers a complementary spatial view (Figure 7): for confident accepted predictions the activation concentrates over the lung fields, whereas borderline deferred predictions show more diffuse activation, consistent with the uncertainty-driven abstention used throughout this work.</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511039"/>
            <wp:effectExtent b="0" l="0" r="0" t="0"/>
            <wp:docPr descr="Grad-CAM borderline vs confident" title="" id="44" name="Picture"/>
            <a:graphic>
              <a:graphicData uri="http://schemas.openxmlformats.org/drawingml/2006/picture">
                <pic:pic>
                  <pic:nvPicPr>
                    <pic:cNvPr descr="assets/e5_gradcam_nih.png" id="45" name="Picture"/>
                    <pic:cNvPicPr>
                      <a:picLocks noChangeArrowheads="1" noChangeAspect="1"/>
                    </pic:cNvPicPr>
                  </pic:nvPicPr>
                  <pic:blipFill>
                    <a:blip r:embed="rId43"/>
                    <a:stretch>
                      <a:fillRect/>
                    </a:stretch>
                  </pic:blipFill>
                  <pic:spPr bwMode="auto">
                    <a:xfrm>
                      <a:off x="0" y="0"/>
                      <a:ext cx="6400800" cy="4511039"/>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7:</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6"/>
    <w:bookmarkEnd w:id="47"/>
    <w:bookmarkStart w:id="48"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48"/>
    <w:bookmarkStart w:id="49"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9"/>
    <w:bookmarkStart w:id="50"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1"/>
    <w:bookmarkStart w:id="52"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2"/>
    <w:bookmarkEnd w:id="53"/>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3" Type="http://schemas.openxmlformats.org/officeDocument/2006/relationships/image" Target="media/rId43.png"/><Relationship Id="rId18" Type="http://schemas.openxmlformats.org/officeDocument/2006/relationships/image" Target="media/rId18.png"/><Relationship Id="rId40" Type="http://schemas.openxmlformats.org/officeDocument/2006/relationships/image" Target="media/rId40.png"/><Relationship Id="rId10" Type="http://schemas.openxmlformats.org/officeDocument/2006/relationships/image" Target="media/rId1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2026-06-03T03:16:10Z</dcterms:created>
  <dcterms:modified xsi:type="dcterms:W3CDTF">2026-06-03T03:16:10Z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