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Sufian, M. A., Hamzi, W., Sharifi, T., Zaman, S., Alsadder, L., Lee, E., Hakim, A., &amp; Hamzi, B. (2024). AI-driven thoracic X-ray diagnostics: Transformative transfer learning for clinical validation in pulmonary radiography.</w:t>
      </w:r>
      <w:r>
        <w:t xml:space="preserve"> </w:t>
      </w:r>
      <w:r>
        <w:rPr>
          <w:i/>
          <w:iCs/>
        </w:rPr>
        <w:t xml:space="preserve">Journal of Personalized Medicine, 14</w:t>
      </w:r>
      <w:r>
        <w:t xml:space="preserve">(8), 856. https://doi.org/10.3390/jpm14080856</w:t>
      </w:r>
    </w:p>
    <w:p>
      <w:pPr>
        <w:pStyle w:val="ReferenceEntry"/>
        <w:spacing w:after="60"/>
        <w:ind w:left="403" w:hanging="403"/>
        <w:jc w:val="left"/>
        <w:keepNext w:val="0"/>
        <w:keepLines w:val="0"/>
        <w:widowControl w:val="1"/>
      </w:pPr>
      <w:r>
        <w:rPr>
          <w:rFonts w:ascii="Georgia" w:hAnsi="Georgia"/>
          <w:sz w:val="18"/>
        </w:rPr>
        <w:t xml:space="preserve">2. </w:t>
      </w:r>
      <w:r>
        <w:t xml:space="preserve">Arulananth, T. S., Prakash, S. W., Ayyasamy, R. K., Kavitha, V. P., Kuppusamy, P. G., &amp; Chinnasamy, P. (2024). Classification of paediatric pneumonia using modified DenseNet-121 deep-learning model.</w:t>
      </w:r>
      <w:r>
        <w:t xml:space="preserve"> </w:t>
      </w:r>
      <w:r>
        <w:rPr>
          <w:i/>
          <w:iCs/>
        </w:rPr>
        <w:t xml:space="preserve">IEEE Access, 12</w:t>
      </w:r>
      <w:r>
        <w:t xml:space="preserve">, 35716-35727. https://doi.org/10.1109/ACCESS.2024.3371151</w:t>
      </w:r>
    </w:p>
    <w:p>
      <w:pPr>
        <w:pStyle w:val="ReferenceEntry"/>
        <w:spacing w:after="60"/>
        <w:ind w:left="403" w:hanging="403"/>
        <w:jc w:val="left"/>
        <w:keepNext w:val="0"/>
        <w:keepLines w:val="0"/>
        <w:widowControl w:val="1"/>
      </w:pPr>
      <w:r>
        <w:rPr>
          <w:rFonts w:ascii="Georgia" w:hAnsi="Georgia"/>
          <w:sz w:val="18"/>
        </w:rPr>
        <w:t xml:space="preserve">3. </w:t>
      </w:r>
      <w:r>
        <w:t xml:space="preserve">Wang, X., Peng, Y., Lu, L., Lu, Z., Bagheri, M., &amp; Summers, R. M. (2017). ChestX-ray8: Hospital-scale chest X-ray database and benchmarks on weakly-supervised classification and localization of common thorax diseases. In</w:t>
      </w:r>
      <w:r>
        <w:t xml:space="preserve"> </w:t>
      </w:r>
      <w:r>
        <w:rPr>
          <w:i/>
          <w:iCs/>
        </w:rPr>
        <w:t xml:space="preserve">Proceedings of the IEEE Conference on Computer Vision and Pattern Recognition (CVPR)</w:t>
      </w:r>
      <w:r>
        <w:t xml:space="preserve"> </w:t>
      </w:r>
      <w:r>
        <w:t xml:space="preserve">(pp. 2097-2106). IEEE. https://doi.org/10.1109/CVPR.2017.369</w:t>
      </w:r>
    </w:p>
    <w:p>
      <w:pPr>
        <w:pStyle w:val="ReferenceEntry"/>
        <w:spacing w:after="60"/>
        <w:ind w:left="403" w:hanging="403"/>
        <w:jc w:val="left"/>
        <w:keepNext w:val="0"/>
        <w:keepLines w:val="0"/>
        <w:widowControl w:val="1"/>
      </w:pPr>
      <w:r>
        <w:rPr>
          <w:rFonts w:ascii="Georgia" w:hAnsi="Georgia"/>
          <w:sz w:val="18"/>
        </w:rPr>
        <w:t xml:space="preserve">4. </w:t>
      </w:r>
      <w:r>
        <w:t xml:space="preserve">Rajpurkar, P., Irvin, J., Zhu, K., Yang, B., Mehta, H., Duan, T., Ding, D., Bagul, A., Langlotz, C., Shpanskaya, K., Lungren, M. P., &amp; Ng, A. Y. (2017). CheXNet: Radiologist-level pneumonia detection on chest X-rays with deep learning.</w:t>
      </w:r>
      <w:r>
        <w:t xml:space="preserve"> </w:t>
      </w:r>
      <w:r>
        <w:rPr>
          <w:i/>
          <w:iCs/>
        </w:rPr>
        <w:t xml:space="preserve">arXiv</w:t>
      </w:r>
      <w:r>
        <w:t xml:space="preserve">. https://arxiv.org/abs/1711.05225</w:t>
      </w:r>
    </w:p>
    <w:p>
      <w:pPr>
        <w:pStyle w:val="ReferenceEntry"/>
        <w:spacing w:after="60"/>
        <w:ind w:left="403" w:hanging="403"/>
        <w:jc w:val="left"/>
        <w:keepNext w:val="0"/>
        <w:keepLines w:val="0"/>
        <w:widowControl w:val="1"/>
      </w:pPr>
      <w:r>
        <w:rPr>
          <w:rFonts w:ascii="Georgia" w:hAnsi="Georgia"/>
          <w:sz w:val="18"/>
        </w:rPr>
        <w:t xml:space="preserve">5. </w:t>
      </w: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t xml:space="preserve"> </w:t>
      </w:r>
      <w:r>
        <w:rPr>
          <w:i/>
          <w:iCs/>
        </w:rPr>
        <w:t xml:space="preserve">Proceedings of the AAAI Conference on Artificial Intelligence, 33</w:t>
      </w:r>
      <w:r>
        <w:t xml:space="preserve">(1), 590-597. https://doi.org/10.1609/aaai.v33i01.3301590</w:t>
      </w:r>
    </w:p>
    <w:p>
      <w:pPr>
        <w:pStyle w:val="ReferenceEntry"/>
        <w:spacing w:after="60"/>
        <w:ind w:left="403" w:hanging="403"/>
        <w:jc w:val="left"/>
        <w:keepNext w:val="0"/>
        <w:keepLines w:val="0"/>
        <w:widowControl w:val="1"/>
      </w:pPr>
      <w:r>
        <w:rPr>
          <w:rFonts w:ascii="Georgia" w:hAnsi="Georgia"/>
          <w:sz w:val="18"/>
        </w:rPr>
        <w:t xml:space="preserve">6. </w:t>
      </w:r>
      <w:r>
        <w:t xml:space="preserve">Lakhani, P., &amp; Sundaram, B. (2017). Deep learning at chest radiography: Automated classification of pulmonary tuberculosis by using convolutional neural networks.</w:t>
      </w:r>
      <w:r>
        <w:t xml:space="preserve"> </w:t>
      </w:r>
      <w:r>
        <w:rPr>
          <w:i/>
          <w:iCs/>
        </w:rPr>
        <w:t xml:space="preserve">Radiology, 284</w:t>
      </w:r>
      <w:r>
        <w:t xml:space="preserve">(2), 574-582. https://doi.org/10.1148/radiol.2017162326</w:t>
      </w:r>
    </w:p>
    <w:p>
      <w:pPr>
        <w:pStyle w:val="ReferenceEntry"/>
        <w:spacing w:after="60"/>
        <w:ind w:left="403" w:hanging="403"/>
        <w:jc w:val="left"/>
        <w:keepNext w:val="0"/>
        <w:keepLines w:val="0"/>
        <w:widowControl w:val="1"/>
      </w:pPr>
      <w:r>
        <w:rPr>
          <w:rFonts w:ascii="Georgia" w:hAnsi="Georgia"/>
          <w:sz w:val="18"/>
        </w:rPr>
        <w:t xml:space="preserve">7. </w:t>
      </w:r>
      <w: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t xml:space="preserve"> </w:t>
      </w:r>
      <w:r>
        <w:rPr>
          <w:i/>
          <w:iCs/>
        </w:rPr>
        <w:t xml:space="preserve">Radiology, 294</w:t>
      </w:r>
      <w:r>
        <w:t xml:space="preserve">(2), 421-431. https://doi.org/10.1148/radiol.2019191293</w:t>
      </w:r>
    </w:p>
    <w:p>
      <w:pPr>
        <w:pStyle w:val="ReferenceEntry"/>
        <w:spacing w:after="60"/>
        <w:ind w:left="403" w:hanging="403"/>
        <w:jc w:val="left"/>
        <w:keepNext w:val="0"/>
        <w:keepLines w:val="0"/>
        <w:widowControl w:val="1"/>
      </w:pPr>
      <w:r>
        <w:rPr>
          <w:rFonts w:ascii="Georgia" w:hAnsi="Georgia"/>
          <w:sz w:val="18"/>
        </w:rPr>
        <w:t xml:space="preserve">8. </w:t>
      </w:r>
      <w:r>
        <w:t xml:space="preserve">Park, S., Kim, G., Oh, Y., Seo, J. B., Lee, S. M., Kim, J. H., Moon, S., Lim, J.-K., Park, C. M., &amp; Ye, J. C. (2022). Self-evolving vision transformer for chest X-ray diagnosis through knowledge distillation.</w:t>
      </w:r>
      <w:r>
        <w:t xml:space="preserve"> </w:t>
      </w:r>
      <w:r>
        <w:rPr>
          <w:i/>
          <w:iCs/>
        </w:rPr>
        <w:t xml:space="preserve">Nature Communications, 13</w:t>
      </w:r>
      <w:r>
        <w:t xml:space="preserve">, 3848. https://doi.org/10.1038/s41467-022-31514-x</w:t>
      </w:r>
    </w:p>
    <w:p>
      <w:pPr>
        <w:pStyle w:val="ReferenceEntry"/>
        <w:spacing w:after="60"/>
        <w:ind w:left="403" w:hanging="403"/>
        <w:jc w:val="left"/>
        <w:keepNext w:val="0"/>
        <w:keepLines w:val="0"/>
        <w:widowControl w:val="1"/>
      </w:pPr>
      <w:r>
        <w:rPr>
          <w:rFonts w:ascii="Georgia" w:hAnsi="Georgia"/>
          <w:sz w:val="18"/>
        </w:rPr>
        <w:t xml:space="preserve">9. </w:t>
      </w:r>
      <w:r>
        <w:t xml:space="preserve">Cohen, J. P., Viviano, J. D., Bertin, P., Morrison, P., Torabian, P., Guarrera, M., Lungren, M. P., Chaudhari, A., Brooks, R., Hashir, M., &amp; Bertrand, H. (2021). TorchXRayVision: A library of chest X-ray datasets and models.</w:t>
      </w:r>
      <w:r>
        <w:t xml:space="preserve"> </w:t>
      </w:r>
      <w:r>
        <w:rPr>
          <w:i/>
          <w:iCs/>
        </w:rPr>
        <w:t xml:space="preserve">arXiv</w:t>
      </w:r>
      <w:r>
        <w:t xml:space="preserve">. https://arxiv.org/abs/2111.00595</w:t>
      </w:r>
    </w:p>
    <w:p>
      <w:pPr>
        <w:pStyle w:val="ReferenceEntry"/>
        <w:spacing w:after="60"/>
        <w:ind w:left="403" w:hanging="403"/>
        <w:jc w:val="left"/>
        <w:keepNext w:val="0"/>
        <w:keepLines w:val="0"/>
        <w:widowControl w:val="1"/>
      </w:pPr>
      <w:r>
        <w:rPr>
          <w:rFonts w:ascii="Georgia" w:hAnsi="Georgia"/>
          <w:sz w:val="18"/>
        </w:rPr>
        <w:t xml:space="preserve">10. </w:t>
      </w:r>
      <w:r>
        <w:t xml:space="preserve">Johnson, A. E. W., Pollard, T. J., Greenbaum, N. R., Lungren, M. P., Deng, C.-Y., Peng, Y., Lu, Z., Mark, R. G., Berkowitz, S. J., &amp; Horng, S. (2019). MIMIC-CXR-JPG, a large publicly available database of labeled chest radiographs.</w:t>
      </w:r>
      <w:r>
        <w:t xml:space="preserve"> </w:t>
      </w:r>
      <w:r>
        <w:rPr>
          <w:i/>
          <w:iCs/>
        </w:rPr>
        <w:t xml:space="preserve">arXiv</w:t>
      </w:r>
      <w:r>
        <w:t xml:space="preserve">. https://arxiv.org/abs/1901.07042</w:t>
      </w:r>
    </w:p>
    <w:p>
      <w:pPr>
        <w:pStyle w:val="ReferenceEntry"/>
        <w:spacing w:after="60"/>
        <w:ind w:left="403" w:hanging="403"/>
        <w:jc w:val="left"/>
        <w:keepNext w:val="0"/>
        <w:keepLines w:val="0"/>
        <w:widowControl w:val="1"/>
      </w:pPr>
      <w:r>
        <w:rPr>
          <w:rFonts w:ascii="Georgia" w:hAnsi="Georgia"/>
          <w:sz w:val="18"/>
        </w:rPr>
        <w:t xml:space="preserve">11. </w:t>
      </w:r>
      <w:r>
        <w:t xml:space="preserve">Bustos, A., Pertusa, A., Salinas, J.-M., &amp; de la Iglesia-Vayá, M. (2020). PadChest: A large chest X-ray image dataset with multi-label annotated reports.</w:t>
      </w:r>
      <w:r>
        <w:t xml:space="preserve"> </w:t>
      </w:r>
      <w:r>
        <w:rPr>
          <w:i/>
          <w:iCs/>
        </w:rPr>
        <w:t xml:space="preserve">Medical Image Analysis, 66</w:t>
      </w:r>
      <w:r>
        <w:t xml:space="preserve">, Article 101797. https://doi.org/10.1016/j.media.2020.101797</w:t>
      </w:r>
    </w:p>
    <w:p>
      <w:pPr>
        <w:pStyle w:val="ReferenceEntry"/>
        <w:spacing w:after="60"/>
        <w:ind w:left="403" w:hanging="403"/>
        <w:jc w:val="left"/>
        <w:keepNext w:val="0"/>
        <w:keepLines w:val="0"/>
        <w:widowControl w:val="1"/>
      </w:pPr>
      <w:r>
        <w:rPr>
          <w:rFonts w:ascii="Georgia" w:hAnsi="Georgia"/>
          <w:sz w:val="18"/>
        </w:rPr>
        <w:t xml:space="preserve">12. </w:t>
      </w:r>
      <w:r>
        <w:rPr>
          <w:highlight w:val="yellow"/>
        </w:rPr>
        <w:t xml:space="preserve">Cohen, J. P., Hashir, M., Brooks, R., &amp; Bertrand, H. (2020). On the limits of cross-domain generalization in automated X-ray prediction. In</w:t>
      </w:r>
      <w:r>
        <w:t xml:space="preserve"> </w:t>
      </w:r>
      <w:r>
        <w:rPr>
          <w:i/>
          <w:iCs/>
          <w:highlight w:val="yellow"/>
        </w:rPr>
        <w:t xml:space="preserve">Proceedings of the Third Conference on Medical Imaging with Deep Learning (MIDL 2020)</w:t>
      </w:r>
      <w:r>
        <w:t xml:space="preserve"> </w:t>
      </w:r>
      <w:r>
        <w:rPr>
          <w:highlight w:val="yellow"/>
        </w:rPr>
        <w:t xml:space="preserve">(Proceedings of Machine Learning Research, Vol. 121, pp. 136-155). PMLR. https://proceedings.mlr.press/v121/cohen20a.html</w:t>
      </w:r>
    </w:p>
    <w:p>
      <w:pPr>
        <w:pStyle w:val="ReferenceEntry"/>
        <w:spacing w:after="60"/>
        <w:ind w:left="403" w:hanging="403"/>
        <w:jc w:val="left"/>
        <w:keepNext w:val="0"/>
        <w:keepLines w:val="0"/>
        <w:widowControl w:val="1"/>
      </w:pPr>
      <w:r>
        <w:rPr>
          <w:rFonts w:ascii="Georgia" w:hAnsi="Georgia"/>
          <w:sz w:val="18"/>
        </w:rPr>
        <w:t xml:space="preserve">13. </w:t>
      </w:r>
      <w:r>
        <w:rPr>
          <w:highlight w:val="yellow"/>
        </w:rPr>
        <w:t xml:space="preserve">Zech, J. R., Badgeley, M. A., Liu, M., Costa, A. B., Titano, J. J., &amp; Oermann, E. K. (2018). Variable generalization performance of a deep learning model to detect pneumonia in chest radiographs: A cross-sectional study.</w:t>
      </w:r>
      <w:r>
        <w:t xml:space="preserve"> </w:t>
      </w:r>
      <w:r>
        <w:rPr>
          <w:i/>
          <w:iCs/>
          <w:highlight w:val="yellow"/>
        </w:rPr>
        <w:t xml:space="preserve">PLOS Medicine, 15</w:t>
      </w:r>
      <w:r>
        <w:rPr>
          <w:highlight w:val="yellow"/>
        </w:rPr>
        <w:t xml:space="preserve">(11), Article e1002683. https://doi.org/10.1371/journal.pmed.1002683</w:t>
      </w:r>
    </w:p>
    <w:p>
      <w:pPr>
        <w:pStyle w:val="ReferenceEntry"/>
        <w:spacing w:after="60"/>
        <w:ind w:left="403" w:hanging="403"/>
        <w:jc w:val="left"/>
        <w:keepNext w:val="0"/>
        <w:keepLines w:val="0"/>
        <w:widowControl w:val="1"/>
      </w:pPr>
      <w:r>
        <w:rPr>
          <w:rFonts w:ascii="Georgia" w:hAnsi="Georgia"/>
          <w:sz w:val="18"/>
        </w:rPr>
        <w:t xml:space="preserve">14. </w:t>
      </w:r>
      <w:r>
        <w:t xml:space="preserve">Ovadia, Y., Fertig, E., Ren, J., Nado, Z., Sculley, D., Nowozin, S., Dillon, J. V., Lakshminarayanan, B., &amp; Snoek, J. (2019). Can you trust your model's uncertainty? Evaluating predictive uncertainty under dataset shift. In</w:t>
      </w:r>
      <w:r>
        <w:t xml:space="preserve"> </w:t>
      </w:r>
      <w:r>
        <w:rPr>
          <w:i/>
          <w:iCs/>
          <w:highlight w:val="yellow"/>
        </w:rPr>
        <w:t xml:space="preserve">Advances in Neural Information Processing Systems</w:t>
      </w:r>
      <w:r>
        <w:t xml:space="preserve"> </w:t>
      </w:r>
      <w:r>
        <w:rPr>
          <w:highlight w:val="yellow"/>
        </w:rPr>
        <w:t xml:space="preserve">(Vol. 32, pp. 13991-14002). Curran Associates.</w:t>
      </w:r>
    </w:p>
    <w:p>
      <w:pPr>
        <w:pStyle w:val="ReferenceEntry"/>
        <w:spacing w:after="60"/>
        <w:ind w:left="403" w:hanging="403"/>
        <w:jc w:val="left"/>
        <w:keepNext w:val="0"/>
        <w:keepLines w:val="0"/>
        <w:widowControl w:val="1"/>
      </w:pPr>
      <w:r>
        <w:rPr>
          <w:rFonts w:ascii="Georgia" w:hAnsi="Georgia"/>
          <w:sz w:val="18"/>
        </w:rPr>
        <w:t xml:space="preserve">15. </w:t>
      </w:r>
      <w:r>
        <w:t xml:space="preserve">Apartsin, A., Cooper, L. N., &amp; Intrator, N. (2012). Semi-coherent time of arrival estimation using regression.</w:t>
      </w:r>
      <w:r>
        <w:t xml:space="preserve"> </w:t>
      </w:r>
      <w:r>
        <w:rPr>
          <w:i/>
          <w:iCs/>
        </w:rPr>
        <w:t xml:space="preserve">The Journal of the Acoustical Society of America, 132</w:t>
      </w:r>
      <w:r>
        <w:t xml:space="preserve">(2), 832-837. https://doi.org/10.1121/1.4730885</w:t>
      </w:r>
    </w:p>
    <w:p>
      <w:pPr>
        <w:pStyle w:val="ReferenceEntry"/>
        <w:spacing w:after="60"/>
        <w:ind w:left="403" w:hanging="403"/>
        <w:jc w:val="left"/>
        <w:keepNext w:val="0"/>
        <w:keepLines w:val="0"/>
        <w:widowControl w:val="1"/>
      </w:pPr>
      <w:r>
        <w:rPr>
          <w:rFonts w:ascii="Georgia" w:hAnsi="Georgia"/>
          <w:sz w:val="18"/>
        </w:rPr>
        <w:t xml:space="preserve">16. </w:t>
      </w:r>
      <w:r>
        <w:t xml:space="preserve">Goodfellow, I. J., Shlens, J., &amp; Szegedy, C. (2015). Explaining and harnessing adversarial examples. In</w:t>
      </w:r>
      <w:r>
        <w:t xml:space="preserve"> </w:t>
      </w:r>
      <w:r>
        <w:rPr>
          <w:i/>
          <w:iCs/>
        </w:rPr>
        <w:t xml:space="preserve">3rd International Conference on Learning Representations (ICLR 2015)</w:t>
      </w:r>
      <w:r>
        <w:t xml:space="preserve">. https://arxiv.org/abs/1412.6572</w:t>
      </w:r>
    </w:p>
    <w:p>
      <w:pPr>
        <w:pStyle w:val="ReferenceEntry"/>
        <w:spacing w:after="60"/>
        <w:ind w:left="403" w:hanging="403"/>
        <w:jc w:val="left"/>
        <w:keepNext w:val="0"/>
        <w:keepLines w:val="0"/>
        <w:widowControl w:val="1"/>
      </w:pPr>
      <w:r>
        <w:rPr>
          <w:rFonts w:ascii="Georgia" w:hAnsi="Georgia"/>
          <w:sz w:val="18"/>
        </w:rPr>
        <w:t xml:space="preserve">17. </w:t>
      </w:r>
      <w:r>
        <w:t xml:space="preserve">Lee, J., &amp; AlRegib, G. (2020). Gradients as a measure of uncertainty in neural networks. In</w:t>
      </w:r>
      <w:r>
        <w:t xml:space="preserve"> </w:t>
      </w:r>
      <w:r>
        <w:rPr>
          <w:i/>
          <w:iCs/>
        </w:rPr>
        <w:t xml:space="preserve">2020 IEEE International Conference on Image Processing (ICIP)</w:t>
      </w:r>
      <w:r>
        <w:t xml:space="preserve"> </w:t>
      </w:r>
      <w:r>
        <w:t xml:space="preserve">(pp. 2416-2420). IEEE. https://doi.org/10.1109/ICIP40778.2020.9190679</w:t>
      </w:r>
    </w:p>
    <w:p>
      <w:pPr>
        <w:pStyle w:val="ReferenceEntry"/>
        <w:spacing w:after="60"/>
        <w:ind w:left="403" w:hanging="403"/>
        <w:jc w:val="left"/>
        <w:keepNext w:val="0"/>
        <w:keepLines w:val="0"/>
        <w:widowControl w:val="1"/>
      </w:pPr>
      <w:r>
        <w:rPr>
          <w:rFonts w:ascii="Georgia" w:hAnsi="Georgia"/>
          <w:sz w:val="18"/>
        </w:rPr>
        <w:t xml:space="preserve">18. </w:t>
      </w:r>
      <w:r>
        <w:t xml:space="preserve">Rokach, L., Aperstein, Y., &amp; Akselrod-Ballin, A. (2025). Deep active learning framework for chest-abdominal CT scans segmentation.</w:t>
      </w:r>
      <w:r>
        <w:t xml:space="preserve"> </w:t>
      </w:r>
      <w:r>
        <w:rPr>
          <w:i/>
          <w:iCs/>
        </w:rPr>
        <w:t xml:space="preserve">Expert Systems with Applications, 263</w:t>
      </w:r>
      <w:r>
        <w:t xml:space="preserve">, Article 125522. https://doi.org/10.1016/j.eswa.2024.125522</w:t>
      </w:r>
    </w:p>
    <w:p>
      <w:pPr>
        <w:pStyle w:val="ReferenceEntry"/>
        <w:spacing w:after="60"/>
        <w:ind w:left="403" w:hanging="403"/>
        <w:jc w:val="left"/>
        <w:keepNext w:val="0"/>
        <w:keepLines w:val="0"/>
        <w:widowControl w:val="1"/>
      </w:pPr>
      <w:r>
        <w:rPr>
          <w:rFonts w:ascii="Georgia" w:hAnsi="Georgia"/>
          <w:sz w:val="18"/>
        </w:rPr>
        <w:t xml:space="preserve">19. </w:t>
      </w:r>
      <w:r>
        <w:t xml:space="preserve">Levy, D., Assayag, B., Gaspar, L., Shimshoni, I., &amp; Specktor-Fadida, B. (2026). From cold start to active learning: Embedding-based scan selection for medical image segmentation.</w:t>
      </w:r>
      <w:r>
        <w:t xml:space="preserve"> </w:t>
      </w:r>
      <w:r>
        <w:rPr>
          <w:i/>
          <w:iCs/>
        </w:rPr>
        <w:t xml:space="preserve">arXiv</w:t>
      </w:r>
      <w:r>
        <w:t xml:space="preserve">. https://arxiv.org/abs/2601.18532</w:t>
      </w:r>
    </w:p>
    <w:p>
      <w:pPr>
        <w:pStyle w:val="ReferenceEntry"/>
        <w:spacing w:after="60"/>
        <w:ind w:left="403" w:hanging="403"/>
        <w:jc w:val="left"/>
        <w:keepNext w:val="0"/>
        <w:keepLines w:val="0"/>
        <w:widowControl w:val="1"/>
      </w:pPr>
      <w:r>
        <w:rPr>
          <w:rFonts w:ascii="Georgia" w:hAnsi="Georgia"/>
          <w:sz w:val="18"/>
        </w:rPr>
        <w:t xml:space="preserve">20. </w:t>
      </w: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ReferenceEntry"/>
        <w:spacing w:after="60"/>
        <w:ind w:left="403" w:hanging="403"/>
        <w:jc w:val="left"/>
        <w:keepNext w:val="0"/>
        <w:keepLines w:val="0"/>
        <w:widowControl w:val="1"/>
      </w:pPr>
      <w:r>
        <w:rPr>
          <w:rFonts w:ascii="Georgia" w:hAnsi="Georgia"/>
          <w:sz w:val="18"/>
        </w:rPr>
        <w:t xml:space="preserve">21. </w:t>
      </w:r>
      <w:r>
        <w:t xml:space="preserve">Cortes, C., DeSalvo, G., &amp; Mohri, M. (2016). Learning with rejection. In</w:t>
      </w:r>
      <w:r>
        <w:t xml:space="preserve"> </w:t>
      </w:r>
      <w:r>
        <w:rPr>
          <w:i/>
          <w:iCs/>
        </w:rPr>
        <w:t xml:space="preserve">Algorithmic Learning Theory (ALT 2016)</w:t>
      </w:r>
      <w:r>
        <w:t xml:space="preserve"> </w:t>
      </w:r>
      <w:r>
        <w:t xml:space="preserve">(Lecture Notes in Computer Science, Vol. 9925, pp. 67-82). Springer. https://doi.org/10.1007/978-3-319-46379-7_5</w:t>
      </w:r>
    </w:p>
    <w:p>
      <w:pPr>
        <w:pStyle w:val="ReferenceEntry"/>
        <w:spacing w:after="60"/>
        <w:ind w:left="403" w:hanging="403"/>
        <w:jc w:val="left"/>
        <w:keepNext w:val="0"/>
        <w:keepLines w:val="0"/>
        <w:widowControl w:val="1"/>
      </w:pPr>
      <w:r>
        <w:rPr>
          <w:rFonts w:ascii="Georgia" w:hAnsi="Georgia"/>
          <w:sz w:val="18"/>
        </w:rPr>
        <w:t xml:space="preserve">22. </w:t>
      </w:r>
      <w:r>
        <w:t xml:space="preserve">Geifman, Y., &amp; El-Yaniv, R. (2017). Selective classification for deep neural networks. In</w:t>
      </w:r>
      <w:r>
        <w:t xml:space="preserve"> </w:t>
      </w:r>
      <w:r>
        <w:rPr>
          <w:i/>
          <w:iCs/>
        </w:rPr>
        <w:t xml:space="preserve">Advances in Neural Information Processing Systems 30 (NeurIPS 2017)</w:t>
      </w:r>
      <w:r>
        <w:t xml:space="preserve"> </w:t>
      </w:r>
      <w:r>
        <w:t xml:space="preserve">(pp. 4878-4887). Curran Associates. https://proceedings.neurips.cc/paper/2017/hash/4a8423d5e91fda00bb7e46540e2b0cf1-Abstract.html</w:t>
      </w:r>
    </w:p>
    <w:p>
      <w:pPr>
        <w:pStyle w:val="ReferenceEntry"/>
        <w:spacing w:after="60"/>
        <w:ind w:left="403" w:hanging="403"/>
        <w:jc w:val="left"/>
        <w:keepNext w:val="0"/>
        <w:keepLines w:val="0"/>
        <w:widowControl w:val="1"/>
      </w:pPr>
      <w:r>
        <w:rPr>
          <w:rFonts w:ascii="Georgia" w:hAnsi="Georgia"/>
          <w:sz w:val="18"/>
        </w:rPr>
        <w:t xml:space="preserve">23. </w:t>
      </w:r>
      <w:r>
        <w:t xml:space="preserve">Geifman, Y., &amp; El-Yaniv, R. (2019). SelectiveNet: A deep neural network with an integrated reject option. In</w:t>
      </w:r>
      <w:r>
        <w:t xml:space="preserve"> </w:t>
      </w:r>
      <w:r>
        <w:rPr>
          <w:i/>
          <w:iCs/>
        </w:rPr>
        <w:t xml:space="preserve">Proceedings of the 36th International Conference on Machine Learning (ICML 2019)</w:t>
      </w:r>
      <w:r>
        <w:t xml:space="preserve"> </w:t>
      </w:r>
      <w:r>
        <w:t xml:space="preserve">(Proceedings of Machine Learning Research, Vol. 97, pp. 2151-2159). PMLR. https://proceedings.mlr.press/v97/geifman19a.html</w:t>
      </w:r>
    </w:p>
    <w:p>
      <w:pPr>
        <w:pStyle w:val="ReferenceEntry"/>
        <w:spacing w:after="60"/>
        <w:ind w:left="403" w:hanging="403"/>
        <w:jc w:val="left"/>
        <w:keepNext w:val="0"/>
        <w:keepLines w:val="0"/>
        <w:widowControl w:val="1"/>
      </w:pPr>
      <w:r>
        <w:rPr>
          <w:rFonts w:ascii="Georgia" w:hAnsi="Georgia"/>
          <w:sz w:val="18"/>
        </w:rPr>
        <w:t xml:space="preserve">24. </w:t>
      </w:r>
      <w:r>
        <w:t xml:space="preserve">Lakshminarayanan, B., Pritzel, A., &amp; Blundell, C. (2017). Simple and scalable predictive uncertainty estimation using deep ensembles. In</w:t>
      </w:r>
      <w:r>
        <w:t xml:space="preserve"> </w:t>
      </w:r>
      <w:r>
        <w:rPr>
          <w:i/>
          <w:iCs/>
        </w:rPr>
        <w:t xml:space="preserve">Advances in Neural Information Processing Systems 30 (NeurIPS 2017)</w:t>
      </w:r>
      <w:r>
        <w:t xml:space="preserve"> </w:t>
      </w:r>
      <w:r>
        <w:t xml:space="preserve">(pp. 6402-6413). Curran Associates. https://proceedings.neurips.cc/paper/2017/hash/9ef2ed4b7fd2c810847ffa5fa85bce38-Abstract.html</w:t>
      </w:r>
    </w:p>
    <w:p>
      <w:pPr>
        <w:pStyle w:val="ReferenceEntry"/>
        <w:spacing w:after="60"/>
        <w:ind w:left="403" w:hanging="403"/>
        <w:jc w:val="left"/>
        <w:keepNext w:val="0"/>
        <w:keepLines w:val="0"/>
        <w:widowControl w:val="1"/>
      </w:pPr>
      <w:r>
        <w:rPr>
          <w:rFonts w:ascii="Georgia" w:hAnsi="Georgia"/>
          <w:sz w:val="18"/>
        </w:rPr>
        <w:t xml:space="preserve">25. </w:t>
      </w:r>
      <w:r>
        <w:t xml:space="preserve">Fisch, A., Jaakkola, T. S., &amp; Barzilay, R. (2022). Calibrated selective classification.</w:t>
      </w:r>
      <w:r>
        <w:t xml:space="preserve"> </w:t>
      </w:r>
      <w:r>
        <w:rPr>
          <w:i/>
          <w:iCs/>
        </w:rPr>
        <w:t xml:space="preserve">Transactions on Machine Learning Research</w:t>
      </w:r>
      <w:r>
        <w:t xml:space="preserve">. https://openreview.net/forum?id=zFhNBs8GaV</w:t>
      </w:r>
    </w:p>
    <w:p>
      <w:pPr>
        <w:pStyle w:val="ReferenceEntry"/>
        <w:spacing w:after="60"/>
        <w:ind w:left="403" w:hanging="403"/>
        <w:jc w:val="left"/>
        <w:keepNext w:val="0"/>
        <w:keepLines w:val="0"/>
        <w:widowControl w:val="1"/>
      </w:pPr>
      <w:r>
        <w:rPr>
          <w:rFonts w:ascii="Georgia" w:hAnsi="Georgia"/>
          <w:sz w:val="18"/>
        </w:rPr>
        <w:t xml:space="preserve">26. </w:t>
      </w:r>
      <w:r>
        <w:t xml:space="preserve">Cattelan, L. F. P., &amp; Silva, D. (2024). How to fix a broken confidence estimator: Evaluating post-hoc methods for selective classification with deep neural networks. In</w:t>
      </w:r>
      <w:r>
        <w:t xml:space="preserve"> </w:t>
      </w:r>
      <w:r>
        <w:rPr>
          <w:i/>
          <w:iCs/>
        </w:rPr>
        <w:t xml:space="preserve">Proceedings of the 40th Conference on Uncertainty in Artificial Intelligence (UAI 2024)</w:t>
      </w:r>
      <w:r>
        <w:t xml:space="preserve"> </w:t>
      </w:r>
      <w:r>
        <w:t xml:space="preserve">(Proceedings of Machine Learning Research, Vol. 244, pp. 547-584). PMLR. https://proceedings.mlr.press/v244/cattelan24a.html</w:t>
      </w:r>
    </w:p>
    <w:p>
      <w:pPr>
        <w:pStyle w:val="ReferenceEntry"/>
        <w:spacing w:after="60"/>
        <w:ind w:left="403" w:hanging="403"/>
        <w:jc w:val="left"/>
        <w:keepNext w:val="0"/>
        <w:keepLines w:val="0"/>
        <w:widowControl w:val="1"/>
      </w:pPr>
      <w:r>
        <w:rPr>
          <w:rFonts w:ascii="Georgia" w:hAnsi="Georgia"/>
          <w:sz w:val="18"/>
        </w:rPr>
        <w:t xml:space="preserve">27. </w:t>
      </w:r>
      <w:r>
        <w:t xml:space="preserve">Rabanser, S., Thudi, A., Hamidieh, K., Dziedzic, A., Bahceci, I., Bin Sediq, A., Sokun, H., &amp; Papernot, N. (2022). Selective prediction via training dynamics.</w:t>
      </w:r>
      <w:r>
        <w:t xml:space="preserve"> </w:t>
      </w:r>
      <w:r>
        <w:rPr>
          <w:i/>
          <w:iCs/>
        </w:rPr>
        <w:t xml:space="preserve">arXiv</w:t>
      </w:r>
      <w:r>
        <w:t xml:space="preserve">. https://arxiv.org/abs/2205.13532</w:t>
      </w:r>
    </w:p>
    <w:p>
      <w:pPr>
        <w:pStyle w:val="ReferenceEntry"/>
        <w:spacing w:after="60"/>
        <w:ind w:left="403" w:hanging="403"/>
        <w:jc w:val="left"/>
        <w:keepNext w:val="0"/>
        <w:keepLines w:val="0"/>
        <w:widowControl w:val="1"/>
      </w:pPr>
      <w:r>
        <w:rPr>
          <w:rFonts w:ascii="Georgia" w:hAnsi="Georgia"/>
          <w:sz w:val="18"/>
        </w:rPr>
        <w:t xml:space="preserve">28. </w:t>
      </w:r>
      <w:r>
        <w:t xml:space="preserve">Kompa, B., Snoek, J., &amp; Beam, A. L. (2021). Second opinion needed: Communicating uncertainty in medical machine learning.</w:t>
      </w:r>
      <w:r>
        <w:t xml:space="preserve"> </w:t>
      </w:r>
      <w:r>
        <w:rPr>
          <w:i/>
          <w:iCs/>
        </w:rPr>
        <w:t xml:space="preserve">npj Digital Medicine, 4</w:t>
      </w:r>
      <w:r>
        <w:t xml:space="preserve">(1), Article 4. https://doi.org/10.1038/s41746-020-00367-3</w:t>
      </w:r>
    </w:p>
    <w:p>
      <w:pPr>
        <w:pStyle w:val="ReferenceEntry"/>
        <w:spacing w:after="60"/>
        <w:ind w:left="403" w:hanging="403"/>
        <w:jc w:val="left"/>
        <w:keepNext w:val="0"/>
        <w:keepLines w:val="0"/>
        <w:widowControl w:val="1"/>
      </w:pPr>
      <w:r>
        <w:rPr>
          <w:rFonts w:ascii="Georgia" w:hAnsi="Georgia"/>
          <w:sz w:val="18"/>
        </w:rPr>
        <w:t xml:space="preserve">29. </w:t>
      </w:r>
      <w:r>
        <w:t xml:space="preserve">Faghani, S., Moassefi, M., Rouzrokh, P., Khosravi, B., Baffour, F. I., Ringler, M. D., &amp; Erickson, B. J. (2023). Quantifying uncertainty in deep learning of radiologic images.</w:t>
      </w:r>
      <w:r>
        <w:t xml:space="preserve"> </w:t>
      </w:r>
      <w:r>
        <w:rPr>
          <w:i/>
          <w:iCs/>
        </w:rPr>
        <w:t xml:space="preserve">Radiology, 308</w:t>
      </w:r>
      <w:r>
        <w:t xml:space="preserve">(2), Article e222217. https://doi.org/10.1148/radiol.222217</w:t>
      </w:r>
    </w:p>
    <w:p>
      <w:pPr>
        <w:pStyle w:val="ReferenceEntry"/>
        <w:spacing w:after="60"/>
        <w:ind w:left="403" w:hanging="403"/>
        <w:jc w:val="left"/>
        <w:keepNext w:val="0"/>
        <w:keepLines w:val="0"/>
        <w:widowControl w:val="1"/>
      </w:pPr>
      <w:r>
        <w:rPr>
          <w:rFonts w:ascii="Georgia" w:hAnsi="Georgia"/>
          <w:sz w:val="18"/>
        </w:rPr>
        <w:t xml:space="preserve">30. </w:t>
      </w:r>
      <w:r>
        <w:t xml:space="preserve">Whata, A., Dibeco, K., Madzima, K., &amp; Obagbuwa, I. (2024). Uncertainty quantification in multi-class image classification using chest X-ray images of COVID-19 and pneumonia.</w:t>
      </w:r>
      <w:r>
        <w:t xml:space="preserve"> </w:t>
      </w:r>
      <w:r>
        <w:rPr>
          <w:i/>
          <w:iCs/>
        </w:rPr>
        <w:t xml:space="preserve">Frontiers in Artificial Intelligence, 7</w:t>
      </w:r>
      <w:r>
        <w:t xml:space="preserve">, Article 1410841. https://doi.org/10.3389/frai.2024.1410841</w:t>
      </w:r>
    </w:p>
    <w:p>
      <w:pPr>
        <w:pStyle w:val="ReferenceEntry"/>
        <w:spacing w:after="60"/>
        <w:ind w:left="403" w:hanging="403"/>
        <w:jc w:val="left"/>
        <w:keepNext w:val="0"/>
        <w:keepLines w:val="0"/>
        <w:widowControl w:val="1"/>
      </w:pPr>
      <w:r>
        <w:rPr>
          <w:rFonts w:ascii="Georgia" w:hAnsi="Georgia"/>
          <w:sz w:val="18"/>
        </w:rPr>
        <w:t xml:space="preserve">31. </w:t>
      </w:r>
      <w:r>
        <w:t xml:space="preserve">Das, A., Gorade, V., Kumar, K., Chakraborty, S., Mahapatra, D., &amp; Roy, S. (2024). Confidence-guided semi-supervised learning for generalized lesion localization in X-ray images. In</w:t>
      </w:r>
      <w:r>
        <w:t xml:space="preserve"> </w:t>
      </w:r>
      <w:r>
        <w:rPr>
          <w:i/>
          <w:iCs/>
        </w:rPr>
        <w:t xml:space="preserve">Medical Image Computing and Computer-Assisted Intervention (MICCAI 2024)</w:t>
      </w:r>
      <w:r>
        <w:t xml:space="preserve"> </w:t>
      </w:r>
      <w:r>
        <w:t xml:space="preserve">(Lecture Notes in Computer Science, Vol. 15001, pp. 242-252). Springer. https://doi.org/10.1007/978-3-031-72378-0_23</w:t>
      </w:r>
    </w:p>
    <w:p>
      <w:pPr>
        <w:pStyle w:val="ReferenceEntry"/>
        <w:spacing w:after="60"/>
        <w:ind w:left="403" w:hanging="403"/>
        <w:jc w:val="left"/>
        <w:keepNext w:val="0"/>
        <w:keepLines w:val="0"/>
        <w:widowControl w:val="1"/>
      </w:pPr>
      <w:r>
        <w:rPr>
          <w:rFonts w:ascii="Georgia" w:hAnsi="Georgia"/>
          <w:sz w:val="18"/>
        </w:rPr>
        <w:t xml:space="preserve">32. </w:t>
      </w:r>
      <w:r>
        <w:t xml:space="preserve">Huang, G., Liu, Z., Van Der Maaten, L., &amp; Weinberger, K. Q. (2017). Densely connected convolutional networks. In</w:t>
      </w:r>
      <w:r>
        <w:t xml:space="preserve"> </w:t>
      </w:r>
      <w:r>
        <w:rPr>
          <w:i/>
          <w:iCs/>
        </w:rPr>
        <w:t xml:space="preserve">Proceedings of the IEEE Conference on Computer Vision and Pattern Recognition (CVPR)</w:t>
      </w:r>
      <w:r>
        <w:t xml:space="preserve"> </w:t>
      </w:r>
      <w:r>
        <w:t xml:space="preserve">(pp. 4700-4708). IEEE. https://doi.org/10.1109/CVPR.2017.243</w:t>
      </w:r>
    </w:p>
    <w:p>
      <w:pPr>
        <w:pStyle w:val="ReferenceEntry"/>
        <w:spacing w:after="60"/>
        <w:ind w:left="403" w:hanging="403"/>
        <w:jc w:val="left"/>
        <w:keepNext w:val="0"/>
        <w:keepLines w:val="0"/>
        <w:widowControl w:val="1"/>
      </w:pPr>
      <w:r>
        <w:rPr>
          <w:rFonts w:ascii="Georgia" w:hAnsi="Georgia"/>
          <w:sz w:val="18"/>
        </w:rPr>
        <w:t xml:space="preserve">33. </w:t>
      </w:r>
      <w:r>
        <w:t xml:space="preserve">Seyyed-Kalantari, L., Liu, G., McDermott, M., Chen, I. Y., &amp; Ghassemi, M. (2021). CheXclusion: Fairness gaps in deep chest X-ray classifiers. In</w:t>
      </w:r>
      <w:r>
        <w:t xml:space="preserve"> </w:t>
      </w:r>
      <w:r>
        <w:rPr>
          <w:i/>
          <w:iCs/>
        </w:rPr>
        <w:t xml:space="preserve">Pacific Symposium on Biocomputing 2021</w:t>
      </w:r>
      <w:r>
        <w:t xml:space="preserve"> </w:t>
      </w:r>
      <w:r>
        <w:t xml:space="preserve">(pp. 232-243). World Scientific. https://doi.org/10.1142/9789811232701_0022</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2026-06-06T04:45:32Z</dcterms:created>
  <dcterms:modified xsi:type="dcterms:W3CDTF">2026-06-06T04:45:32Z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