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19"/>
        </w:rPr>
        <w:t xml:space="preserve">Yehudit Aperstein</w:t>
      </w:r>
      <w:r>
        <w:rPr>
          <w:rFonts w:ascii="Times New Roman" w:hAnsi="Times New Roman"/>
          <w:b w:val="0"/>
          <w:i/>
          <w:sz w:val="19"/>
          <w:vertAlign w:val="superscript"/>
        </w:rPr>
        <w:t xml:space="preserve">1,*</w:t>
      </w:r>
      <w:r>
        <w:rPr>
          <w:rFonts w:ascii="Times New Roman" w:hAnsi="Times New Roman"/>
          <w:b w:val="0"/>
          <w:i/>
          <w:sz w:val="19"/>
        </w:rPr>
        <w:t xml:space="preserve">, Amit Tzahar</w:t>
      </w:r>
      <w:r>
        <w:rPr>
          <w:rFonts w:ascii="Times New Roman" w:hAnsi="Times New Roman"/>
          <w:b w:val="0"/>
          <w:i/>
          <w:sz w:val="19"/>
          <w:vertAlign w:val="superscript"/>
        </w:rPr>
        <w:t xml:space="preserve">1</w:t>
      </w:r>
      <w:r>
        <w:rPr>
          <w:rFonts w:ascii="Times New Roman" w:hAnsi="Times New Roman"/>
          <w:b w:val="0"/>
          <w:i/>
          <w:sz w:val="19"/>
        </w:rPr>
        <w:t xml:space="preserve">, Alon Gottlib</w:t>
      </w:r>
      <w:r>
        <w:rPr>
          <w:rFonts w:ascii="Times New Roman" w:hAnsi="Times New Roman"/>
          <w:b w:val="0"/>
          <w:i/>
          <w:sz w:val="19"/>
          <w:vertAlign w:val="superscript"/>
        </w:rPr>
        <w:t xml:space="preserve">1</w:t>
      </w:r>
      <w:r>
        <w:rPr>
          <w:rFonts w:ascii="Times New Roman" w:hAnsi="Times New Roman"/>
          <w:b w:val="0"/>
          <w:i/>
          <w:sz w:val="19"/>
        </w:rPr>
        <w:t xml:space="preserve">, Tal Verber</w:t>
      </w:r>
      <w:r>
        <w:rPr>
          <w:rFonts w:ascii="Times New Roman" w:hAnsi="Times New Roman"/>
          <w:b w:val="0"/>
          <w:i/>
          <w:sz w:val="19"/>
          <w:vertAlign w:val="superscript"/>
        </w:rPr>
        <w:t xml:space="preserve">1</w:t>
      </w:r>
      <w:r>
        <w:rPr>
          <w:rFonts w:ascii="Times New Roman" w:hAnsi="Times New Roman"/>
          <w:b w:val="0"/>
          <w:i/>
          <w:sz w:val="19"/>
        </w:rPr>
        <w:t xml:space="preserve">, Ravit Shagan Damti</w:t>
      </w:r>
      <w:r>
        <w:rPr>
          <w:rFonts w:ascii="Times New Roman" w:hAnsi="Times New Roman"/>
          <w:b w:val="0"/>
          <w:i/>
          <w:sz w:val="19"/>
          <w:vertAlign w:val="superscript"/>
        </w:rPr>
        <w:t xml:space="preserve">1</w:t>
      </w:r>
      <w:r>
        <w:rPr>
          <w:rFonts w:ascii="Times New Roman" w:hAnsi="Times New Roman"/>
          <w:b w:val="0"/>
          <w:i/>
          <w:sz w:val="19"/>
        </w:rPr>
        <w:t xml:space="preserve">, Alexander Apartsin</w:t>
      </w:r>
      <w:r>
        <w:rPr>
          <w:rFonts w:ascii="Times New Roman" w:hAnsi="Times New Roman"/>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446201"/>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6400800" cy="2446201"/>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1:</w:t>
      </w:r>
      <w:r>
        <w:rPr>
          <w:b w:val="0"/>
          <w:i/>
        </w:rPr>
        <w:t xml:space="preserve"> </w:t>
      </w:r>
      <w:r>
        <w:rPr>
          <w:b w:val="0"/>
          <w:i/>
        </w:rPr>
        <w:t>Class distribution for the four target pathologies, reported as positive-label counts across the aggregated multi-source pool (distinct from the per-source evaluation splits in Section 4).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reported as positive-label counts across the aggregated multi-source pool (distinct from the per-source evaluation splits in Section 4).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p>
      <w:pPr>
        <w:pStyle w:val="BodyText"/>
        <w:jc w:val="center"/>
        <w:keepNext/>
        <w:keepLines/>
        <w:widowControl w:val="1"/>
      </w:pPr>
      <w:r>
        <w:drawing>
          <wp:inline>
            <wp:extent cx="6400800" cy="1790805"/>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6400800" cy="179080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1,155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(Section 3.3; validation macro-AUC 0.85) reproduces the improvement across all four pathologies, with balanced-accuracy gains at a coverage of 0.70 of Cardiomegaly 0.78 to 0.90, Effusion 0.78 to 0.85, Edema 0.80 to 0.92, and Consolidation 0.66 to 0.72, indicating the effect is not specific to one backbone or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[0.025, 0.097]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[0.034, 0.091]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+0.076 [0.050, 0.095]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0.585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+0.033 [0.026, 0.041]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211185"/>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6400800" cy="221118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937760" cy="74066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937760" cy="74066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511039"/>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6400800" cy="4511039"/>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2026-06-03T02:14:54Z</dcterms:created>
  <dcterms:modified xsi:type="dcterms:W3CDTF">2026-06-03T02:14:54Z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