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Amit Tzahar</w:t>
      </w:r>
      <w:r>
        <w:rPr>
          <w:rFonts w:ascii="Times New Roman" w:hAnsi="Times New Roman"/>
          <w:b w:val="0"/>
          <w:i/>
          <w:sz w:val="20"/>
          <w:vertAlign w:val="superscript"/>
        </w:rPr>
        <w:t xml:space="preserve">1</w:t>
      </w:r>
      <w:r>
        <w:rPr>
          <w:rFonts w:ascii="Times New Roman" w:hAnsi="Times New Roman"/>
          <w:b w:val="0"/>
          <w:i/>
          <w:sz w:val="20"/>
        </w:rPr>
        <w:t xml:space="preserve">, Alon Gottlib</w:t>
      </w:r>
      <w:r>
        <w:rPr>
          <w:rFonts w:ascii="Times New Roman" w:hAnsi="Times New Roman"/>
          <w:b w:val="0"/>
          <w:i/>
          <w:sz w:val="20"/>
          <w:vertAlign w:val="superscript"/>
        </w:rPr>
        <w:t xml:space="preserve">1</w:t>
      </w:r>
      <w:r>
        <w:rPr>
          <w:rFonts w:ascii="Times New Roman" w:hAnsi="Times New Roman"/>
          <w:b w:val="0"/>
          <w:i/>
          <w:sz w:val="20"/>
        </w:rPr>
        <w:t xml:space="preserve">, Tal Verber</w:t>
      </w:r>
      <w:r>
        <w:rPr>
          <w:rFonts w:ascii="Times New Roman" w:hAnsi="Times New Roman"/>
          <w:b w:val="0"/>
          <w:i/>
          <w:sz w:val="20"/>
          <w:vertAlign w:val="superscript"/>
        </w:rPr>
        <w:t xml:space="preserve">1</w:t>
      </w:r>
      <w:r>
        <w:rPr>
          <w:rFonts w:ascii="Times New Roman" w:hAnsi="Times New Roman"/>
          <w:b w:val="0"/>
          <w:i/>
          <w:sz w:val="20"/>
        </w:rPr>
        <w:t xml:space="preserve">, Ravit Shagan Damti</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and MIMIC-CXR,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and on an independently trained model. A leave-one-dataset-out evaluation shows that, although domain shift lowers discrimination, deferral improves retained balanced accuracy on the unseen source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2271472"/>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227147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between NIH ChestX-ray14 and MIMIC-CXR.</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3"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18"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60" w:after="60" w:line="240" w:lineRule="auto"/>
        <w:keepNext/>
        <w:keepLines/>
        <w:widowControl w:val="1"/>
      </w:pPr>
      <w:r>
        <w:rPr>
          <w:b/>
          <w:i/>
        </w:rPr>
        <w:t>Table 1:</w:t>
      </w:r>
      <w:r>
        <w:rPr>
          <w:b w:val="0"/>
          <w:i/>
        </w:rPr>
        <w:t xml:space="preserve"> </w:t>
      </w:r>
      <w:r>
        <w:rPr>
          <w:b w:val="0"/>
          <w:i/>
        </w:rPr>
        <w:t>Class distribution for the four target pathologies. The dataset is imbalanced, with higher prevalence of Cardiomegaly and Effusion than the rarer Edema and Consolidation, and a substantial number of images carry multiple positive labels.</w:t>
      </w:r>
    </w:p>
    <w:tbl>
      <w:tblPr>
        <w:tblStyle w:val="Table"/>
        <w:tblW w:type="pct" w:w="5000"/>
        <w:jc w:val="center"/>
        <w:tblLook w:firstRow="1" w:lastRow="0" w:firstColumn="0" w:lastColumn="0" w:noHBand="0" w:noVBand="0" w:val="0020"/>
        <w:tblCaption w:val="Table 1: Class distribution for the four target pathologies. The dataset is imbalanced, with higher prevalence of Cardiomegaly and Effusion than the rarer Edema and Consolidation, and a substantial number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11919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3869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3.1</w:t>
            </w:r>
          </w:p>
        </w:tc>
      </w:tr>
    </w:tbl>
    <w:bookmarkEnd w:id="18"/>
    <w:bookmarkStart w:id="19"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19"/>
    <w:bookmarkStart w:id="20"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w:t>
      </w:r>
    </w:p>
    <w:bookmarkEnd w:id="20"/>
    <w:bookmarkStart w:id="21"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1"/>
    <w:bookmarkStart w:id="22"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4)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2"/>
    <w:bookmarkEnd w:id="23"/>
    <w:bookmarkStart w:id="41"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and 1,155 MIMIC-CXR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27"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60" w:after="60" w:line="240" w:lineRule="auto"/>
        <w:keepNext/>
        <w:keepLines/>
        <w:widowControl w:val="1"/>
      </w:pPr>
      <w:r>
        <w:rPr>
          <w:b/>
          <w:i/>
        </w:rPr>
        <w:t>Table 2:</w:t>
      </w:r>
      <w:r>
        <w:rPr>
          <w:b w:val="0"/>
          <w:i/>
        </w:rPr>
        <w:t xml:space="preserve"> </w:t>
      </w:r>
      <w:r>
        <w:rPr>
          <w:b w:val="0"/>
          <w:i/>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5" name="Picture"/>
            <a:graphic>
              <a:graphicData uri="http://schemas.openxmlformats.org/drawingml/2006/picture">
                <pic:pic>
                  <pic:nvPicPr>
                    <pic:cNvPr descr="assets/selective_bacc_nih22k.png" id="26" name="Picture"/>
                    <pic:cNvPicPr>
                      <a:picLocks noChangeArrowheads="1" noChangeAspect="1"/>
                    </pic:cNvPicPr>
                  </pic:nvPicPr>
                  <pic:blipFill>
                    <a:blip r:embed="rId24"/>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2:</w:t>
      </w:r>
      <w:r>
        <w:rPr>
          <w:b w:val="0"/>
          <w:i/>
        </w:rPr>
        <w:t xml:space="preserve"> </w:t>
      </w:r>
      <w:r>
        <w:rPr>
          <w:b w:val="0"/>
          <w:i/>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the same calibrated-threshold analysis yields supported balanced-accuracy gains for three of the four pathologies (Cardiomegaly +0.080 [0.039, 0.122], Effusion +0.064 [0.039, 0.097], Edema +0.090 [0.036, 0.144]; 95% confidence intervals excluding zero), and an independently trained weighted-BCE DenseNet-121 reproduces the improvement across all four pathologies, indicating the effect is not specific to one backbone or dataset.</w:t>
      </w:r>
    </w:p>
    <w:bookmarkEnd w:id="27"/>
    <w:bookmarkStart w:id="31"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3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29" name="Picture"/>
            <a:graphic>
              <a:graphicData uri="http://schemas.openxmlformats.org/drawingml/2006/picture">
                <pic:pic>
                  <pic:nvPicPr>
                    <pic:cNvPr descr="assets/e1_risk_coverage_nih22k.png" id="30" name="Picture"/>
                    <pic:cNvPicPr>
                      <a:picLocks noChangeArrowheads="1" noChangeAspect="1"/>
                    </pic:cNvPicPr>
                  </pic:nvPicPr>
                  <pic:blipFill>
                    <a:blip r:embed="rId28"/>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Risk-coverage curves per pathology. The retained-prediction performance is traced against coverage as the entropy threshold varies.</w:t>
      </w:r>
    </w:p>
    <w:bookmarkEnd w:id="31"/>
    <w:bookmarkStart w:id="32"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60" w:after="60" w:line="240" w:lineRule="auto"/>
        <w:keepNext/>
        <w:keepLines/>
        <w:widowControl w:val="1"/>
      </w:pPr>
      <w:r>
        <w:rPr>
          <w:b/>
          <w:i/>
        </w:rPr>
        <w:t>Table 3:</w:t>
      </w:r>
      <w:r>
        <w:rPr>
          <w:b w:val="0"/>
          <w:i/>
        </w:rPr>
        <w:t xml:space="preserve"> </w:t>
      </w:r>
      <w:r>
        <w:rPr>
          <w:b w:val="0"/>
          <w:i/>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0.670</w:t>
            </w:r>
          </w:p>
        </w:tc>
      </w:tr>
    </w:tbl>
    <w:p>
      <w:pPr>
        <w:pStyle w:val="BodyText"/>
        <w:spacing w:before="16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Selective prediction therefore provides a safeguard precisely where it is most needed, on out-of-distribution inputs.</w:t>
      </w:r>
    </w:p>
    <w:p>
      <w:pPr>
        <w:spacing w:before="160" w:after="60" w:line="240" w:lineRule="auto"/>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+0.063 [0.025, 0.097]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+0.063 [0.034, 0.091]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+0.076 [0.050, 0.095]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0.585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0.618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+0.033 [0.026, 0.041]</w:t>
            </w:r>
          </w:p>
        </w:tc>
      </w:tr>
    </w:tbl>
    <w:bookmarkEnd w:id="32"/>
    <w:bookmarkStart w:id="36"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4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34" name="Picture"/>
            <a:graphic>
              <a:graphicData uri="http://schemas.openxmlformats.org/drawingml/2006/picture">
                <pic:pic>
                  <pic:nvPicPr>
                    <pic:cNvPr descr="assets/e4_threshold_sweep_nih22k.png" id="35" name="Picture"/>
                    <pic:cNvPicPr>
                      <a:picLocks noChangeArrowheads="1" noChangeAspect="1"/>
                    </pic:cNvPicPr>
                  </pic:nvPicPr>
                  <pic:blipFill>
                    <a:blip r:embed="rId33"/>
                    <a:stretch>
                      <a:fillRect/>
                    </a:stretch>
                  </pic:blipFill>
                  <pic:spPr bwMode="auto">
                    <a:xfrm>
                      <a:off x="0" y="0"/>
                      <a:ext cx="5943600" cy="2053243"/>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Threshold sensitivity. Rejection rate and retained performance as a function of the calibration percentile.</w:t>
      </w:r>
    </w:p>
    <w:bookmarkEnd w:id="36"/>
    <w:bookmarkStart w:id="40"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spatially. Predictions near a decision boundary are expected to be more sensitive to small input perturbations than confident predictions, so the activation that drives a confident prediction should be more spatially concentrated. Grad-CAM provides this view (Figure 5):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38" name="Picture"/>
            <a:graphic>
              <a:graphicData uri="http://schemas.openxmlformats.org/drawingml/2006/picture">
                <pic:pic>
                  <pic:nvPicPr>
                    <pic:cNvPr descr="assets/e5_gradcam_nih.png" id="39" name="Picture"/>
                    <pic:cNvPicPr>
                      <a:picLocks noChangeArrowheads="1" noChangeAspect="1"/>
                    </pic:cNvPicPr>
                  </pic:nvPicPr>
                  <pic:blipFill>
                    <a:blip r:embed="rId37"/>
                    <a:stretch>
                      <a:fillRect/>
                    </a:stretch>
                  </pic:blipFill>
                  <pic:spPr bwMode="auto">
                    <a:xfrm>
                      <a:off x="0" y="0"/>
                      <a:ext cx="5943600" cy="418882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5:</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 complementing the aggregate selective-prediction metrics.</w:t>
      </w:r>
    </w:p>
    <w:bookmarkEnd w:id="40"/>
    <w:bookmarkEnd w:id="41"/>
    <w:bookmarkStart w:id="4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the regime in which selective prediction is most valuable, since abstaining on uncertain cases reduces the risk associated with out-of-distribution inputs while preserving reliable predictions.</w:t>
      </w:r>
      <w:r>
        <w:t xml:space="preserve"> </w:t>
      </w:r>
      <w:r>
        <w:t xml:space="preserve">Together these findings support uncertainty-aware selective prediction as a route to safer, more trustworthy AI-assisted diagnosis.</w:t>
      </w:r>
    </w:p>
    <w:bookmarkEnd w:id="42"/>
    <w:bookmarkStart w:id="4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3"/>
    <w:bookmarkStart w:id="4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44"/>
    <w:bookmarkStart w:id="45"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45"/>
    <w:bookmarkStart w:id="46"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46"/>
    <w:bookmarkEnd w:id="4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3" Type="http://schemas.openxmlformats.org/officeDocument/2006/relationships/image" Target="media/rId33.png"/><Relationship Id="rId37" Type="http://schemas.openxmlformats.org/officeDocument/2006/relationships/image" Target="media/rId37.png"/><Relationship Id="rId10" Type="http://schemas.openxmlformats.org/officeDocument/2006/relationships/image" Target="media/rId10.png"/><Relationship Id="rId24" Type="http://schemas.openxmlformats.org/officeDocument/2006/relationships/image" Target="media/rId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2026-06-02T17:22:34Z</dcterms:created>
  <dcterms:modified xsi:type="dcterms:W3CDTF">2026-06-02T17:22:34Z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