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6.8</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3"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3396342"/>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3963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+0.052 [0.030, 0.084]</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52"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8), indicating an unstable decision surface near the boundary.</w:t>
      </w:r>
    </w:p>
    <w:p>
      <w:pPr>
        <w:pStyle w:val="BodyText"/>
        <w:jc w:val="center"/>
        <w:keepNext/>
        <w:keepLines/>
        <w:widowControl w:val="1"/>
      </w:pPr>
      <w:r>
        <w:drawing>
          <wp:inline>
            <wp:extent cx="4632960" cy="6949440"/>
            <wp:effectExtent b="0" l="0" r="0" t="0"/>
            <wp:docPr descr="gradient volatility accepted vs rejected" title="" id="47" name="Picture"/>
            <a:graphic>
              <a:graphicData uri="http://schemas.openxmlformats.org/drawingml/2006/picture">
                <pic:pic>
                  <pic:nvPicPr>
                    <pic:cNvPr descr="assets/gradvol_nih.png" id="48" name="Picture"/>
                    <pic:cNvPicPr>
                      <a:picLocks noChangeArrowheads="1" noChangeAspect="1"/>
                    </pic:cNvPicPr>
                  </pic:nvPicPr>
                  <pic:blipFill>
                    <a:blip r:embed="rId46"/>
                    <a:stretch>
                      <a:fillRect/>
                    </a:stretch>
                  </pic:blipFill>
                  <pic:spPr bwMode="auto">
                    <a:xfrm>
                      <a:off x="0" y="0"/>
                      <a:ext cx="4632960" cy="69494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pStyle w:val="BodyText"/>
        <w:jc w:val="both"/>
        <w:keepNext w:val="0"/>
        <w:keepLines w:val="0"/>
        <w:widowControl w:val="1"/>
      </w:pPr>
      <w:r>
        <w:rPr>
          <w:highlight w:val="green"/>
        </w:rPr>
        <w:t xml:space="preserve">Grad-CAM offers a complementary spatial view (Figure 9):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50" name="Picture"/>
            <a:graphic>
              <a:graphicData uri="http://schemas.openxmlformats.org/drawingml/2006/picture">
                <pic:pic>
                  <pic:nvPicPr>
                    <pic:cNvPr descr="assets/e5_gradcam_nih.png" id="51" name="Picture"/>
                    <pic:cNvPicPr>
                      <a:picLocks noChangeArrowheads="1" noChangeAspect="1"/>
                    </pic:cNvPicPr>
                  </pic:nvPicPr>
                  <pic:blipFill>
                    <a:blip r:embed="rId49"/>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9:</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52"/>
    <w:bookmarkEnd w:id="53"/>
    <w:bookmarkStart w:id="54"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54"/>
    <w:bookmarkStart w:id="55"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5"/>
    <w:bookmarkStart w:id="56"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6"/>
    <w:bookmarkStart w:id="57"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7"/>
    <w:bookmarkStart w:id="58"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10. </w:t>
      </w:r>
      <w:r>
        <w:t xml:space="preserve">Wang, X., et al. (2017). ChestX-ray8.</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11.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12.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13.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14.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15.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16.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17.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18.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19.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20.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21.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22.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23.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24.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25.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26.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27.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28.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29.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30.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31.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32.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33.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8"/>
    <w:bookmarkEnd w:id="59"/>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9" Type="http://schemas.openxmlformats.org/officeDocument/2006/relationships/image" Target="media/rId49.png"/><Relationship Id="rId27" Type="http://schemas.openxmlformats.org/officeDocument/2006/relationships/image" Target="media/rId27.png"/><Relationship Id="rId18" Type="http://schemas.openxmlformats.org/officeDocument/2006/relationships/image" Target="media/rId18.png"/><Relationship Id="rId46" Type="http://schemas.openxmlformats.org/officeDocument/2006/relationships/image" Target="media/rId46.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2026-06-04T16:47:55Z</dcterms:created>
  <dcterms:modified xsi:type="dcterms:W3CDTF">2026-06-04T16:47:55Z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