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3805021c7c9154cb851a75086633bed020ce8e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Selective Multipathology Chest X-Ray Classification via Rejection Mechanisms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Yehudit Aperstein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1,*</w:t>
      </w:r>
      <w:r>
        <w:rPr>
          <w:rFonts w:ascii="Times New Roman" w:hAnsi="Times New Roman"/>
          <w:b w:val="0"/>
          <w:i/>
          <w:sz w:val="20"/>
        </w:rPr>
        <w:t xml:space="preserve">, Amit Tzahar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1</w:t>
      </w:r>
      <w:r>
        <w:rPr>
          <w:rFonts w:ascii="Times New Roman" w:hAnsi="Times New Roman"/>
          <w:b w:val="0"/>
          <w:i/>
          <w:sz w:val="20"/>
        </w:rPr>
        <w:t xml:space="preserve">, Alon Gottlib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1</w:t>
      </w:r>
      <w:r>
        <w:rPr>
          <w:rFonts w:ascii="Times New Roman" w:hAnsi="Times New Roman"/>
          <w:b w:val="0"/>
          <w:i/>
          <w:sz w:val="20"/>
        </w:rPr>
        <w:t xml:space="preserve">, Tal Verber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1</w:t>
      </w:r>
      <w:r>
        <w:rPr>
          <w:rFonts w:ascii="Times New Roman" w:hAnsi="Times New Roman"/>
          <w:b w:val="0"/>
          <w:i/>
          <w:sz w:val="20"/>
        </w:rPr>
        <w:t xml:space="preserve">, Ravit Shagan Damti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1</w:t>
      </w:r>
      <w:r>
        <w:rPr>
          <w:rFonts w:ascii="Times New Roman" w:hAnsi="Times New Roman"/>
          <w:b w:val="0"/>
          <w:i/>
          <w:sz w:val="20"/>
        </w:rPr>
        <w:t xml:space="preserve">, Alexander Apartsin</w:t>
      </w:r>
      <w:r>
        <w:rPr>
          <w:rFonts w:ascii="Times New Roman" w:hAnsi="Times New Roman"/>
          <w:b w:val="0"/>
          <w:i/>
          <w:sz w:val="20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1 Intelligent Systems, Afeka Academic College of Engineering, Tel Aviv, Israel</w:t>
      </w:r>
      <w:r>
        <w:br/>
      </w:r>
      <w:r>
        <w:t xml:space="preserve">2 School of Computer Science, Faculty of Sciences, HIT-Holon Institute of Technology, Holon, Israel</w:t>
      </w:r>
      <w:r>
        <w:br/>
      </w:r>
      <w:r>
        <w:t xml:space="preserve">* Corresponding Author: apersteiny@afeka.ac.il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Overconfidence in deep learning models poses a significant risk in high-stakes medical imaging tasks, particularly in multi-label classification of chest X-rays, where multiple co-occurring pathologies must be detected simultaneously. This study introduces an uncertainty-aware framework for chest X-ray diagnosis based on a DenseNet-121 backbone, enhanced with</w:t>
      </w:r>
      <w:r>
        <w:t xml:space="preserve"> </w:t>
      </w:r>
      <w:r>
        <w:rPr>
          <w:highlight w:val="yellow"/>
        </w:rPr>
        <w:t xml:space="preserve">entropy-based selective prediction: the model abstains, per pathology, on predictions whose binary entropy exceeds a calibrated threshold, deferring those findings for expert review.</w:t>
      </w:r>
      <w:r>
        <w:t xml:space="preserve"> </w:t>
      </w:r>
      <w:r>
        <w:t xml:space="preserve">A quantile-based calibration procedure tunes rejection thresholds using either global or class-specific strategies.</w:t>
      </w:r>
      <w:r>
        <w:t xml:space="preserve"> </w:t>
      </w:r>
      <w:r>
        <w:rPr>
          <w:strike/>
        </w:rPr>
        <w:t xml:space="preserve">Experiments demonstrate that selective rejection improves the trade-off between diagnostic accuracy and coverage, with entropy-based rejection yielding the highest average AUC across all pathologies.</w:t>
      </w:r>
      <w:r>
        <w:t xml:space="preserve"> </w:t>
      </w:r>
      <w:r>
        <w:rPr>
          <w:highlight w:val="green"/>
        </w:rPr>
        <w:t xml:space="preserve">Experiments on NIH ChestX-ray14, MIMIC-CXR, and PadChest, evaluated with risk-coverage analysis and balanced accuracy under non-parametric bootstrap confidence intervals, establish two results. First, at a calibrated operating point, abstention improves balanced accuracy for all four pathologies (on NIH at 30% rejection, +0.04 to +0.09, all 95% CIs excluding zero), replicating on MIMIC-CXR and on an independently trained weighted-BCE model. Second, abstention does not improve the area under the ROC curve, and decreases it for the hardest class, because AUC is a ranking measure insensitive by construction to removing near-boundary cases; selective reliability is therefore reported with balanced accuracy and risk-coverage rather than AUC. A formal leave-one-dataset-out analysis quantifies the domain-shift penalty and selective behavior under shift.</w:t>
      </w:r>
      <w:r>
        <w:t xml:space="preserve"> </w:t>
      </w:r>
      <w:r>
        <w:t xml:space="preserve">These results support uncertainty-aware selective prediction for safer, reproducible deployment of deep learning in clinical settings.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Chest X-ray classification; Rejection mechanism; Multi-label diagnosis; Selective prediction;</w:t>
      </w:r>
      <w:r>
        <w:t xml:space="preserve"> </w:t>
      </w:r>
      <w:r>
        <w:rPr>
          <w:highlight w:val="green"/>
        </w:rPr>
        <w:t xml:space="preserve">Risk-coverage; Balanced accuracy; Domain shift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Automating medical diagnosis with deep learning has shown great potential in chest X-ray analysis. Convolutional neural networks such as DenseNet-121 detect a range of thoracic pathologies [1],[2], but clinical integration demands robust management of uncertainty and patient safety, not only high accuracy.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critical risk is the false negative, where an existing pathology goes undetected, delaying treatment. The problem is amplified in multi-label settings where multiple subtle findings must be considered together. A model that always predicts, even when uncertain, is unsafe; a rejection mechanism lets it abstain on ambiguous cases and defer them to expert review.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build on a DenseNet-121 backbone with</w:t>
      </w:r>
      <w:r>
        <w:t xml:space="preserve"> </w:t>
      </w:r>
      <w:r>
        <w:rPr>
          <w:highlight w:val="yellow"/>
        </w:rPr>
        <w:t xml:space="preserve">a per-pathology entropy-based rejection rule: each pathology prediction is independently accepted or deferred according to its binary entropy.</w:t>
      </w:r>
      <w:r>
        <w:t xml:space="preserve"> </w:t>
      </w:r>
      <w:r>
        <w:rPr>
          <w:strike/>
        </w:rPr>
        <w:t xml:space="preserve">By integrating both entropy-based and interval-based rejection, we enable complementary modes of abstention.</w:t>
      </w:r>
      <w:r>
        <w:t xml:space="preserve"> </w:t>
      </w:r>
      <w:r>
        <w:rPr>
          <w:highlight w:val="green"/>
        </w:rPr>
        <w:t xml:space="preserve">We show that, on a deterministic backbone, an interval-based rule that rejects when a confidence interval straddles the decision boundary is rank-identical to entropy thresholding, so a single entropy rule suffices (Section 3.4).</w:t>
      </w:r>
      <w:r>
        <w:t xml:space="preserve"> </w:t>
      </w:r>
      <w:r>
        <w:t xml:space="preserve">Thresholds are calibrated on held-out data with global or class-specific strategies.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(1) A per-pathology entropy-based selective-prediction rule on a DenseNet-121 backbone with quantile-calibrated thresholds. (2)</w:t>
      </w:r>
      <w:r>
        <w:t xml:space="preserve"> </w:t>
      </w:r>
      <w:r>
        <w:rPr>
          <w:highlight w:val="yellow"/>
        </w:rPr>
        <w:t xml:space="preserve">A risk-coverage and balanced-accuracy evaluation, with bootstrap confidence intervals, establishing where abstention improves reliability;</w:t>
      </w:r>
      <w:r>
        <w:t xml:space="preserve"> </w:t>
      </w:r>
      <w:r>
        <w:t xml:space="preserve">we additionally show AUC is not an appropriate target metric for selective prediction and explain why. (3)</w:t>
      </w:r>
      <w:r>
        <w:t xml:space="preserve"> </w:t>
      </w:r>
      <w:r>
        <w:rPr>
          <w:highlight w:val="yellow"/>
        </w:rPr>
        <w:t xml:space="preserve">A formal leave-one-dataset-out out-of-distribution analysis across NIH ChestX-ray14, MIMIC-CXR, and PadChest, characterizing the domain-shift penalty and selective behavior under shift.</w:t>
      </w:r>
    </w:p>
    <w:bookmarkEnd w:id="10"/>
    <w:bookmarkStart w:id="11" w:name="prior-work"/>
    <w:p>
      <w:pPr>
        <w:pStyle w:val="Heading2"/>
        <w:keepNext/>
        <w:keepLines/>
        <w:widowControl w:val="1"/>
      </w:pPr>
      <w:r>
        <w:t xml:space="preserve">2. Prior work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Deep CNNs are the method of choice for chest radiograph interpretation [3],[4],[5],[6],[7],[8]. Cohen et al. [9] study balanced batch sampling across datasets for OOD generalization on Cardiomegaly, Consolidation, Edema, and Effusion (ChestX-ray8 [10], CheXpert [5], MIMIC-CXR [11], PadChest [12]); we adopt their backbone and add a rejection mechanism. Selective classification (the reject option) was formalized by Chow [18] and extended with learning-theoretic guarantees [19]; modern deep approaches include risk-coverage thresholding [20], SelectiveNet [21], deep ensembles [22], calibrated selective classification [23], post-hoc confidence repair [24], and training-dynamics criteria [25].</w:t>
      </w:r>
      <w:r>
        <w:t xml:space="preserve"> </w:t>
      </w:r>
      <w:r>
        <w:rPr>
          <w:highlight w:val="green"/>
        </w:rPr>
        <w:t xml:space="preserve">For chest radiography specifically, cross-domain generalization is known to be fragile: Zech et al. [Z1] show models exploit hospital-specific confounders and degrade across sites, and Cohen et al. [9] attribute much of the cross-dataset gap to label shift. Ovadia et al. [Z3] show that predictive uncertainty degrades under dataset shift and that ensembles are the most robust, motivating an explicit out-of-distribution evaluation.</w:t>
      </w:r>
      <w:r>
        <w:t xml:space="preserve"> </w:t>
      </w:r>
      <w:r>
        <w:t xml:space="preserve">Medical-imaging UQ work [26],[27],[28],[29] argues that models should defer on high-uncertainty cases.</w:t>
      </w:r>
    </w:p>
    <w:bookmarkEnd w:id="11"/>
    <w:bookmarkStart w:id="16" w:name="methodology"/>
    <w:p>
      <w:pPr>
        <w:pStyle w:val="Heading2"/>
        <w:keepNext/>
        <w:keepLines/>
        <w:widowControl w:val="1"/>
      </w:pPr>
      <w:r>
        <w:t xml:space="preserve">3. Methodology</w:t>
      </w:r>
    </w:p>
    <w:bookmarkStart w:id="12" w:name="dataset"/>
    <w:p>
      <w:pPr>
        <w:pStyle w:val="Heading3"/>
        <w:keepNext/>
        <w:keepLines/>
        <w:widowControl w:val="1"/>
      </w:pPr>
      <w:r>
        <w:t xml:space="preserve">3.1 Dataset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classification task is multi-label over four conditions: Cardiomegaly, Effusion, Edema, and Consolidation, labeled at the image level (labels are not mutually exclusive). Data aggregate multiple public sources to increase distributional diversity.</w:t>
      </w:r>
      <w:r>
        <w:t xml:space="preserve"> </w:t>
      </w:r>
      <w:r>
        <w:rPr>
          <w:highlight w:val="green"/>
        </w:rPr>
        <w:t xml:space="preserve">For reproducibility, the released TorchXRayVision DenseNet-121 [9] is used as the backbone, and a from-scratch weighted-BCE fine-tune is trained for confirmation (Section 4.4).</w:t>
      </w:r>
    </w:p>
    <w:bookmarkEnd w:id="12"/>
    <w:bookmarkStart w:id="13" w:name="baseline-model"/>
    <w:p>
      <w:pPr>
        <w:pStyle w:val="Heading3"/>
        <w:keepNext/>
        <w:keepLines/>
        <w:widowControl w:val="1"/>
      </w:pPr>
      <w:r>
        <w:t xml:space="preserve">3.3 Baseline model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DenseNet-121 [30] uses dense connectivity for feature reuse and gradient flow. Training (the from-scratch model) uses AdamW (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t xml:space="preserve">), up to 30 epochs, ReduceLROnPlateau (factor 0.2, patience 4), and square-root inverse-frequency class weighting in a weighted binary cross-entropy loss.</w:t>
      </w:r>
      <w:r>
        <w:t xml:space="preserve"> </w:t>
      </w:r>
      <w:r>
        <w:rPr>
          <w:highlight w:val="green"/>
        </w:rPr>
        <w:t xml:space="preserve">Multi-domain balanced sampling draws each mini-batch equally across sources [9],[31].</w:t>
      </w:r>
    </w:p>
    <w:bookmarkEnd w:id="13"/>
    <w:bookmarkStart w:id="14" w:name="rejection-mechanism"/>
    <w:p>
      <w:pPr>
        <w:pStyle w:val="Heading3"/>
        <w:keepNext/>
        <w:keepLines/>
        <w:widowControl w:val="1"/>
      </w:pPr>
      <w:r>
        <w:t xml:space="preserve">3.4 Rejection mechanism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highlight w:val="yellow"/>
        </w:rPr>
        <w:t xml:space="preserve">Rejection is defined independently for each pathology.</w:t>
      </w:r>
      <w:r>
        <w:t xml:space="preserve"> </w:t>
      </w:r>
      <w:r>
        <w:t xml:space="preserve">For a per-class probability</w:t>
      </w:r>
      <w:r>
        <w:t xml:space="preserve"> </w:t>
      </w:r>
      <m:oMath>
        <m:r>
          <m:t>p</m:t>
        </m:r>
      </m:oMath>
      <w:r>
        <w:t xml:space="preserve">, the binary entropy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r>
            <m:t>p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maximal at the decision boundary and minimal 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1</m:t>
        </m:r>
      </m:oMath>
      <w:r>
        <w:t xml:space="preserve">. A pathology prediction is rejected when its entropy exceeds a calibrated threshold,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pathology </m:t>
          </m:r>
          <m:r>
            <m:t>c</m:t>
          </m:r>
          <m:r>
            <m:rPr>
              <m:sty m:val="p"/>
            </m:rPr>
            <m:t>⇔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τ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so each image carries an accept/defer decision</w:t>
      </w:r>
      <w:r>
        <w:t xml:space="preserve"> </w:t>
      </w:r>
      <w:r>
        <w:rPr>
          <w:i/>
          <w:iCs/>
          <w:highlight w:val="green"/>
        </w:rPr>
        <w:t xml:space="preserve">per pathology</w:t>
      </w:r>
      <w:r>
        <w:t xml:space="preserve">, and rejection rates are reported per class.</w:t>
      </w:r>
      <w:r>
        <w:t xml:space="preserve"> </w:t>
      </w:r>
      <w:r>
        <w:rPr>
          <w:strike/>
        </w:rPr>
        <w:t xml:space="preserve">An image is accepted if at least one class prediction is confident, and rejected only if all predicted classes are uncertain.</w:t>
      </w:r>
      <w:r>
        <w:t xml:space="preserve"> </w:t>
      </w:r>
      <w:r>
        <w:rPr>
          <w:highlight w:val="green"/>
        </w:rPr>
        <w:t xml:space="preserve">The earlier image-level "accept if any one class is confident" rule is removed; acceptance is per pathology and is not a global clearance of the image.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On a deterministic backbone, an interval-based rule that rejects when the interval around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highlight w:val="green"/>
        </w:rPr>
        <w:t xml:space="preserve">contains the boundary (fixed half-width) is a strictly monotone function of</w:t>
      </w:r>
      <w:r>
        <w:t xml:space="preserve"> </w:t>
      </w:r>
      <m:oMath>
        <m:r>
          <m:rPr>
            <m:sty m:val="p"/>
          </m:rPr>
          <m:t>|</m:t>
        </m:r>
        <m:r>
          <m:t>p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rPr>
          <w:highlight w:val="green"/>
        </w:rPr>
        <w:t xml:space="preserve">, hence rank-identical to entropy thresholding: across all four pathologies the risk-coverage AURC under the two scores agrees to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highlight w:val="green"/>
        </w:rPr>
        <w:t xml:space="preserve">. The interval rule therefore adds no independent signal here, and we use a single entropy-based rule. Probabilities are evaluated at each class's calibrated operating threshold.</w:t>
      </w:r>
    </w:p>
    <w:bookmarkEnd w:id="14"/>
    <w:bookmarkStart w:id="15" w:name="threshold-calibration"/>
    <w:p>
      <w:pPr>
        <w:pStyle w:val="Heading3"/>
        <w:keepNext/>
        <w:keepLines/>
        <w:widowControl w:val="1"/>
      </w:pPr>
      <w:r>
        <w:t xml:space="preserve">3.5 Threshold calibration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quantile-based procedure sets thresholds on a calibration subset disjoint from training and evaluation. Entropy thresholds are taken from the distribution of entropy over correctly classified calibration samples at a chosen percentile (75%–95%), per class or globally.</w:t>
      </w:r>
      <w:r>
        <w:t xml:space="preserve"> </w:t>
      </w:r>
      <w:r>
        <w:rPr>
          <w:highlight w:val="green"/>
        </w:rPr>
        <w:t xml:space="preserve">A threshold-sensitivity analysis (Figure 3) reports the selective metric across calibration percentiles 0.70–0.99, so the operating point is a tunable design choice.</w:t>
      </w:r>
    </w:p>
    <w:bookmarkEnd w:id="15"/>
    <w:bookmarkEnd w:id="16"/>
    <w:bookmarkStart w:id="33" w:name="results"/>
    <w:p>
      <w:pPr>
        <w:pStyle w:val="Heading2"/>
        <w:keepNext/>
        <w:keepLines/>
        <w:widowControl w:val="1"/>
      </w:pPr>
      <w:r>
        <w:t xml:space="preserve">4. Results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Calibration and evaluation use disjoint patient-level splits. We report selective balanced accuracy and selective AUC versus coverage, and a formal leave-one-dataset-out shift, each with 1000-sample bootstrap confidence intervals.</w:t>
      </w:r>
    </w:p>
    <w:bookmarkStart w:id="20" w:name="Xea6e9b01d3431933935fa5973db9bac1ed0ea2d"/>
    <w:p>
      <w:pPr>
        <w:pStyle w:val="Heading3"/>
        <w:keepNext/>
        <w:keepLines/>
        <w:widowControl w:val="1"/>
      </w:pPr>
      <w:r>
        <w:t xml:space="preserve">4.1 Abstention improves balanced accuracy</w:t>
      </w:r>
      <w:r>
        <w:t xml:space="preserve"> </w:t>
      </w:r>
      <w:r>
        <w:rPr>
          <w:highlight w:val="green"/>
        </w:rPr>
        <w:t xml:space="preserve">(the reliability gain)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Pathology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Balanced acc (full coverage)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70% coverage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Δ (95% CI)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Cardiomegaly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0.757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0.839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+0.082 [0.056, 0.113]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Effusion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0.780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0.822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+0.043 [0.029, 0.060]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Edema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0.754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0.841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+0.086 [0.054, 0.125]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Consolidation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0.730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0.807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+0.076 [0.057, 0.095]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Table 2 (new): Selective balanced accuracy at a calibrated operating point (NIH ChestX-ray14, n=22,000; 30% rejection). All four gains have 95% bootstrap CIs excluding zero. Replicated on MIMIC-CXR (three of four significant; the fourth positive) and on an independently trained weighted-BCE DenseNet-121.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486400" cy="3657600"/>
            <wp:effectExtent b="0" l="0" r="0" t="0"/>
            <wp:docPr descr="selective balanced accuracy vs coverage" title="" id="18" name="Picture"/>
            <a:graphic>
              <a:graphicData uri="http://schemas.openxmlformats.org/drawingml/2006/picture">
                <pic:pic>
                  <pic:nvPicPr>
                    <pic:cNvPr descr="assets/selective_bacc_nih22k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Figure: selective balanced accuracy vs coverage, per pathology (NIH n=22,000). Balanced accuracy rises as the most-uncertain predictions are deferred.</w:t>
      </w:r>
    </w:p>
    <w:bookmarkEnd w:id="20"/>
    <w:bookmarkStart w:id="27" w:name="X3f2def8e2dacbf7a9c668e01481c8d4e8a3d984"/>
    <w:p>
      <w:pPr>
        <w:pStyle w:val="Heading3"/>
        <w:keepNext/>
        <w:keepLines/>
        <w:widowControl w:val="1"/>
      </w:pPr>
      <w:r>
        <w:t xml:space="preserve">4.2</w:t>
      </w:r>
      <w:r>
        <w:t xml:space="preserve"> </w:t>
      </w:r>
      <w:r>
        <w:rPr>
          <w:highlight w:val="green"/>
        </w:rPr>
        <w:t xml:space="preserve">AUC is not improved by abstention (correcting the earlier claim)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Pathology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Base AUC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ΔAUC @ 25% rejection (95% CI)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Cardiomegaly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0.868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+0.004 [-0.014, +0.020]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Effusion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0.860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-0.003 [-0.009, +0.004]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Edema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0.860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-0.001 [-0.013, +0.012]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Consolidation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0.792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-0.047 [-0.058, -0.034]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Table 3 (rebuilt): change in AUC under entropy rejection (NIH, n=22,000). No class shows a supported gain at any rejection rate (0 of 20 class × rate cells); Consolidation decreases significantly. Rejecting near-boundary cases removes the informative middle of the ranking, so AUC cannot rise. This reproduces the Round-2 Consolidation anomaly and the reviewer's observation, and motivates reporting balanced accuracy and risk-coverage instead.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263015"/>
            <wp:effectExtent b="0" l="0" r="0" t="0"/>
            <wp:docPr descr="risk-coverage curves" title="" id="22" name="Picture"/>
            <a:graphic>
              <a:graphicData uri="http://schemas.openxmlformats.org/drawingml/2006/picture">
                <pic:pic>
                  <pic:nvPicPr>
                    <pic:cNvPr descr="assets/e1_risk_coverage_nih22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Figure: risk-coverage (selective AUC vs coverage) per pathology.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161309"/>
            <wp:effectExtent b="0" l="0" r="0" t="0"/>
            <wp:docPr descr="threshold sensitivity" title="" id="25" name="Picture"/>
            <a:graphic>
              <a:graphicData uri="http://schemas.openxmlformats.org/drawingml/2006/picture">
                <pic:pic>
                  <pic:nvPicPr>
                    <pic:cNvPr descr="assets/e4_threshold_sweep_nih22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80" w:after="120" w:line="240" w:lineRule="auto"/>
        <w:keepNext w:val="0"/>
        <w:keepLines/>
        <w:widowControl w:val="1"/>
      </w:pPr>
      <w:r>
        <w:rPr>
          <w:b/>
          <w:i/>
        </w:rPr>
        <w:t>Figure 3:</w:t>
      </w:r>
      <w:r>
        <w:rPr>
          <w:b w:val="0"/>
          <w:i/>
        </w:rPr>
        <w:t xml:space="preserve"> </w:t>
      </w:r>
      <w:r>
        <w:rPr>
          <w:b w:val="0"/>
          <w:i/>
        </w:rPr>
        <w:t>threshold sensitivity, reject rate and retained AUC vs calibration percentile.</w:t>
      </w:r>
    </w:p>
    <w:bookmarkEnd w:id="27"/>
    <w:bookmarkStart w:id="28" w:name="X6e747e65a1889125a25c66dcb2e99c8b0d0c32c"/>
    <w:p>
      <w:pPr>
        <w:pStyle w:val="Heading3"/>
        <w:keepNext/>
        <w:keepLines/>
        <w:widowControl w:val="1"/>
      </w:pPr>
      <w:r>
        <w:t xml:space="preserve">4.3</w:t>
      </w:r>
      <w:r>
        <w:t xml:space="preserve"> </w:t>
      </w:r>
      <w:r>
        <w:rPr>
          <w:highlight w:val="green"/>
        </w:rPr>
        <w:t xml:space="preserve">Formal out-of-distribution (leave-one-dataset-out)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Model → eval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Pathology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In-domain AUC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OOD AUC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NIH → MIMIC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Cardiomegaly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0.864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0.748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Effusion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0.818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0.816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Edema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0.867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0.756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Consolidation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0.793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0.639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Table 4 (new): formal leave-one-dataset-out shift. A single-source (NIH) model degrades on an unseen source (MIMIC), quantifying the domain-shift penalty the inter-source setup previously only approximated.</w:t>
      </w:r>
    </w:p>
    <w:bookmarkEnd w:id="28"/>
    <w:bookmarkStart w:id="32" w:name="interpretability-and-confirmation"/>
    <w:p>
      <w:pPr>
        <w:pStyle w:val="Heading3"/>
        <w:keepNext/>
        <w:keepLines/>
        <w:widowControl w:val="1"/>
      </w:pPr>
      <w:r>
        <w:t xml:space="preserve">4.4</w:t>
      </w:r>
      <w:r>
        <w:t xml:space="preserve"> </w:t>
      </w:r>
      <w:r>
        <w:rPr>
          <w:highlight w:val="green"/>
        </w:rPr>
        <w:t xml:space="preserve">Interpretability and confirmation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800"/>
            <wp:effectExtent b="0" l="0" r="0" t="0"/>
            <wp:docPr descr="Grad-CAM borderline vs confident" title="" id="30" name="Picture"/>
            <a:graphic>
              <a:graphicData uri="http://schemas.openxmlformats.org/drawingml/2006/picture">
                <pic:pic>
                  <pic:nvPicPr>
                    <pic:cNvPr descr="assets/e5_gradcam_ni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Figure: Grad-CAM overlays for confident-accepted (top) vs borderline-rejected (bottom) cases per pathology, complementing the gradient-volatility figure.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highlight w:val="green"/>
        </w:rPr>
        <w:t xml:space="preserve">The dual finding (balanced-accuracy gain; no AUC gain) holds on an independently trained weighted-BCE DenseNet-121, confirming it is not an artifact of a particular backbone or calibration.</w:t>
      </w:r>
    </w:p>
    <w:bookmarkEnd w:id="32"/>
    <w:bookmarkEnd w:id="33"/>
    <w:bookmarkStart w:id="34" w:name="discussion-and-conclusions"/>
    <w:p>
      <w:pPr>
        <w:pStyle w:val="Heading2"/>
        <w:keepNext/>
        <w:keepLines/>
        <w:widowControl w:val="1"/>
      </w:pPr>
      <w:r>
        <w:t xml:space="preserve">5. Discussion and conclusions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highlight w:val="yellow"/>
        </w:rPr>
        <w:t xml:space="preserve">Selective prediction improves balanced accuracy at a calibrated operating point across pathologies, datasets, and training regimes, and a formal leave-one-dataset-out analysis quantifies the cost of domain shift.</w:t>
      </w:r>
      <w:r>
        <w:t xml:space="preserve"> </w:t>
      </w:r>
      <w:r>
        <w:rPr>
          <w:highlight w:val="green"/>
        </w:rPr>
        <w:t xml:space="preserve">The appropriate metric for selective prediction is balanced accuracy or risk-coverage, not AUC, which is invariant to abstaining on near-boundary cases by construction.</w:t>
      </w:r>
      <w:r>
        <w:t xml:space="preserve"> </w:t>
      </w:r>
      <w:r>
        <w:t xml:space="preserve">Two boundary conditions scope these results: evaluation covers four thoracic findings and frontal views; multimodal inputs and additional findings remain for future work.</w:t>
      </w:r>
      <w:r>
        <w:t xml:space="preserve"> </w:t>
      </w:r>
      <w:r>
        <w:rPr>
          <w:highlight w:val="green"/>
        </w:rPr>
        <w:t xml:space="preserve">A reproducibility appendix specifies seeds, preprocessing (224×224, normalization), patient-level split sizes, operating-threshold selection, and threshold sensitivity; code and frozen per-image predictions are released.</w:t>
      </w:r>
      <w:r>
        <w:t xml:space="preserve"> </w:t>
      </w:r>
      <w:r>
        <w:rPr>
          <w:strike/>
        </w:rPr>
        <w:t xml:space="preserve">The study does not explicitly assess behavior under domain shift or out-of-distribution conditions.</w:t>
      </w:r>
    </w:p>
    <w:bookmarkEnd w:id="34"/>
    <w:bookmarkStart w:id="3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numPr>
          <w:ilvl w:val="0"/>
          <w:numId w:val="1001"/>
        </w:numPr>
        <w:jc w:val="left"/>
        <w:keepNext w:val="0"/>
        <w:keepLines w:val="0"/>
        <w:widowControl w:val="1"/>
      </w:pPr>
      <w:r>
        <w:t xml:space="preserve">Existing references [1]–[31] retained from the Round-2 manuscript.</w:t>
      </w:r>
    </w:p>
    <w:p>
      <w:pPr>
        <w:pStyle w:val="ReferenceEntry"/>
        <w:numPr>
          <w:ilvl w:val="0"/>
          <w:numId w:val="1001"/>
        </w:numPr>
        <w:jc w:val="left"/>
        <w:keepNext w:val="0"/>
        <w:keepLines w:val="0"/>
        <w:widowControl w:val="1"/>
      </w:pPr>
      <w:r>
        <w:rPr>
          <w:highlight w:val="green"/>
        </w:rPr>
        <w:t xml:space="preserve">[Z1] Zech, J. R., Badgeley, M. A., Liu, M., Costa, A. B., Titano, J. J., Oermann, E. K. (2018). Variable generalization performance of a deep learning model to detect pneumonia in chest radiographs: A cross-sectional study.</w:t>
      </w:r>
      <w:r>
        <w:t xml:space="preserve"> </w:t>
      </w:r>
      <w:r>
        <w:rPr>
          <w:i/>
          <w:iCs/>
          <w:highlight w:val="green"/>
        </w:rPr>
        <w:t xml:space="preserve">PLOS Medicine</w:t>
      </w:r>
      <w:r>
        <w:rPr>
          <w:highlight w:val="green"/>
        </w:rPr>
        <w:t xml:space="preserve">, 15(11), e1002683.</w:t>
      </w:r>
    </w:p>
    <w:p>
      <w:pPr>
        <w:pStyle w:val="ReferenceEntry"/>
        <w:numPr>
          <w:ilvl w:val="0"/>
          <w:numId w:val="1001"/>
        </w:numPr>
        <w:jc w:val="left"/>
        <w:keepNext w:val="0"/>
        <w:keepLines w:val="0"/>
        <w:widowControl w:val="1"/>
      </w:pPr>
      <w:r>
        <w:rPr>
          <w:highlight w:val="green"/>
        </w:rPr>
        <w:t xml:space="preserve">[Z2] Cohen, J. P., Hashir, M., Brooks, R., Bertrand, H. (2020). On the limits of cross-domain generalization in automated X-ray prediction.</w:t>
      </w:r>
      <w:r>
        <w:t xml:space="preserve"> </w:t>
      </w:r>
      <w:r>
        <w:rPr>
          <w:i/>
          <w:iCs/>
          <w:highlight w:val="green"/>
        </w:rPr>
        <w:t xml:space="preserve">MIDL 2020</w:t>
      </w:r>
      <w:r>
        <w:rPr>
          <w:highlight w:val="green"/>
        </w:rPr>
        <w:t xml:space="preserve">. arXiv:2002.02497.</w:t>
      </w:r>
    </w:p>
    <w:p>
      <w:pPr>
        <w:pStyle w:val="ReferenceEntry"/>
        <w:numPr>
          <w:ilvl w:val="0"/>
          <w:numId w:val="1001"/>
        </w:numPr>
        <w:jc w:val="left"/>
        <w:keepNext w:val="0"/>
        <w:keepLines w:val="0"/>
        <w:widowControl w:val="1"/>
      </w:pPr>
      <w:r>
        <w:rPr>
          <w:highlight w:val="green"/>
        </w:rPr>
        <w:t xml:space="preserve">[Z3] Ovadia, Y., et al. (2019). Can you trust your model's uncertainty? Evaluating predictive uncertainty under dataset shift.</w:t>
      </w:r>
      <w:r>
        <w:t xml:space="preserve"> </w:t>
      </w:r>
      <w:r>
        <w:rPr>
          <w:i/>
          <w:iCs/>
          <w:highlight w:val="green"/>
        </w:rPr>
        <w:t xml:space="preserve">NeurIPS 32</w:t>
      </w:r>
      <w:r>
        <w:rPr>
          <w:highlight w:val="green"/>
        </w:rPr>
        <w:t xml:space="preserve">. arXiv:1906.02530.</w:t>
      </w:r>
    </w:p>
    <w:p>
      <w:pPr>
        <w:pStyle w:val="ReferenceEntry"/>
        <w:numPr>
          <w:ilvl w:val="0"/>
          <w:numId w:val="1001"/>
        </w:numPr>
        <w:jc w:val="left"/>
        <w:keepNext w:val="0"/>
        <w:keepLines w:val="0"/>
        <w:widowControl w:val="1"/>
      </w:pPr>
      <w:r>
        <w:rPr>
          <w:highlight w:val="green"/>
        </w:rPr>
        <w:t xml:space="preserve">[Z4] Geifman, Y., El-Yaniv, R. (2017). Selective classification for deep neural networks.</w:t>
      </w:r>
      <w:r>
        <w:t xml:space="preserve"> </w:t>
      </w:r>
      <w:r>
        <w:rPr>
          <w:i/>
          <w:iCs/>
          <w:highlight w:val="green"/>
        </w:rPr>
        <w:t xml:space="preserve">NeurIPS 30</w:t>
      </w:r>
      <w:r>
        <w:rPr>
          <w:highlight w:val="green"/>
        </w:rPr>
        <w:t xml:space="preserve">, 4878–4887.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Revision R3 draft. Numbers trace to reproduced artifacts. Highlighting marks changes vs the Round-2 manuscript.</w:t>
      </w:r>
    </w:p>
    <w:bookmarkEnd w:id="35"/>
    <w:bookmarkEnd w:id="3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9" Type="http://schemas.openxmlformats.org/officeDocument/2006/relationships/image" Target="media/rId29.png"/><Relationship Id="rId17" Type="http://schemas.openxmlformats.org/officeDocument/2006/relationships/image" Target="media/rId1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2026-06-02T15:50:40Z</dcterms:created>
  <dcterms:modified xsi:type="dcterms:W3CDTF">2026-06-02T15:50:40Z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