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20"/>
        </w:rPr>
        <w:t xml:space="preserve">Yehudit Aperstein</w:t>
      </w:r>
      <w:r>
        <w:rPr>
          <w:rFonts w:ascii="Georgia" w:hAnsi="Georgia"/>
          <w:b w:val="0"/>
          <w:i/>
          <w:sz w:val="20"/>
          <w:vertAlign w:val="superscript"/>
        </w:rPr>
        <w:t xml:space="preserve">1,*</w:t>
      </w:r>
      <w:r>
        <w:rPr>
          <w:rFonts w:ascii="Georgia" w:hAnsi="Georgia"/>
          <w:b w:val="0"/>
          <w:i/>
          <w:sz w:val="20"/>
        </w:rPr>
        <w:t xml:space="preserve">, Amit Tzahar</w:t>
      </w:r>
      <w:r>
        <w:rPr>
          <w:rFonts w:ascii="Georgia" w:hAnsi="Georgia"/>
          <w:b w:val="0"/>
          <w:i/>
          <w:sz w:val="20"/>
          <w:vertAlign w:val="superscript"/>
        </w:rPr>
        <w:t xml:space="preserve">1</w:t>
      </w:r>
      <w:r>
        <w:rPr>
          <w:rFonts w:ascii="Georgia" w:hAnsi="Georgia"/>
          <w:b w:val="0"/>
          <w:i/>
          <w:sz w:val="20"/>
        </w:rPr>
        <w:t xml:space="preserve">, Alon Gottlib</w:t>
      </w:r>
      <w:r>
        <w:rPr>
          <w:rFonts w:ascii="Georgia" w:hAnsi="Georgia"/>
          <w:b w:val="0"/>
          <w:i/>
          <w:sz w:val="20"/>
          <w:vertAlign w:val="superscript"/>
        </w:rPr>
        <w:t xml:space="preserve">1</w:t>
      </w:r>
      <w:r>
        <w:rPr>
          <w:rFonts w:ascii="Georgia" w:hAnsi="Georgia"/>
          <w:b w:val="0"/>
          <w:i/>
          <w:sz w:val="20"/>
        </w:rPr>
        <w:t xml:space="preserve">, Tal Verber</w:t>
      </w:r>
      <w:r>
        <w:rPr>
          <w:rFonts w:ascii="Georgia" w:hAnsi="Georgia"/>
          <w:b w:val="0"/>
          <w:i/>
          <w:sz w:val="20"/>
          <w:vertAlign w:val="superscript"/>
        </w:rPr>
        <w:t xml:space="preserve">1</w:t>
      </w:r>
      <w:r>
        <w:rPr>
          <w:rFonts w:ascii="Georgia" w:hAnsi="Georgia"/>
          <w:b w:val="0"/>
          <w:i/>
          <w:sz w:val="20"/>
        </w:rPr>
        <w:t xml:space="preserve">, Ravit Shagan Damti</w:t>
      </w:r>
      <w:r>
        <w:rPr>
          <w:rFonts w:ascii="Georgia" w:hAnsi="Georgia"/>
          <w:b w:val="0"/>
          <w:i/>
          <w:sz w:val="20"/>
          <w:vertAlign w:val="superscript"/>
        </w:rPr>
        <w:t xml:space="preserve">1</w:t>
      </w:r>
      <w:r>
        <w:rPr>
          <w:rFonts w:ascii="Georgia" w:hAnsi="Georgia"/>
          <w:b w:val="0"/>
          <w:i/>
          <w:sz w:val="20"/>
        </w:rPr>
        <w:t xml:space="preserve">, Alexander Apartsin</w:t>
      </w:r>
      <w:r>
        <w:rPr>
          <w:rFonts w:ascii="Georgia" w:hAnsi="Georgia"/>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0.07 to 0.09 at a coverage of 0.70 (95% confidence intervals excluding zero). Every target pathology is also supported on MIMIC-CXR and PadChest, on an independently trained model evaluated cross-dataset on a source it never saw, and under leave-one-dataset-out domain shift in both transfer directions. A key methodological factor is the uncertainty axis: computing predictive entropy on the model's raw probability, rather than the operating-point-normalized output that pretrained backbones emit by default, is necessary for the selective signal to transfer consistently across pathologies and datasets.</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Overview of the proposed selective chest X-ray classification framework. The multi-pathology model produces per-class probability estimates, which are processed through a confidence estimation module. Based on calibrated thresholds derived from predictive entropy, the decision module either accepts confident predictions or defers the finding for expert review. Deferral operates per pathology: individual uncertain findings are deferred rather than the whole image being rejected.</w:t>
      </w: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r>
        <w:t xml:space="preserve"> </w:t>
      </w:r>
      <w:r>
        <w:rPr>
          <w:highlight w:val="green"/>
        </w:rPr>
        <w:t xml:space="preserve">and (4) the finding that pretrained chest X-ray backbones apply an operating-point normalization that deforms the per-pathology probability axis, so that predictive entropy must be computed on the raw model probability for the selective signal to transfer consistently across pathologies and datasets.</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[33]; we adopt the corresponding TorchXRayVision backbone [9] and augment it with a rejection mechanism.</w:t>
      </w:r>
      <w:r>
        <w:t xml:space="preserve"> </w:t>
      </w:r>
      <w:r>
        <w:rPr>
          <w:highlight w:val="green"/>
        </w:rPr>
        <w:t xml:space="preserve">Cross-domain generalization in this setting is known to be fragile: Zech et al. [31] show that models can exploit hospital-specific confounders and degrade across acquisition sites, and Cohen et al. [33] attribute much of the cross-dataset gap to label shift rather than to a shift in the images themselves. Ovadia et al. [32]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[12] and machine learning [13] shows that increased uncertainty leads to greater sensitivity to small perturbations, often indicating operation near a decision boundary. Such instability motivates analyzing perturbation responses as a diagnostic tool [14] and is frequently leveraged in active learning [15],[16], where uncertain samples are prioritized for annotation. Selective classification, the reject option, allows a model to abstain on uncertain inputs to reduce errors. Chow [17] formalized the error-reject trade-off, and Cortes et al. [18] developed frameworks for learning with a reject option. For deep networks, Geifman and El-Yaniv [19] introduced a risk-coverage framework that thresholds the maximal softmax response to guarantee a user-specified error rate, and proposed SelectiveNet [20], which optimizes the accuracy-coverage trade-off during training. Lakshminarayanan et al. [21] showed that deep ensembles provide high-quality uncertainty estimates. Fisch et al. [22] train a selector for calibrated selective classification; Cattelan and Silva [23] propose a logit normalization that improves confidence-based rejection; and Rabanser et al. [24] reject inputs whose predictions flip during training.</w:t>
      </w:r>
      <w:r>
        <w:t xml:space="preserve"> </w:t>
      </w:r>
      <w:r>
        <w:rPr>
          <w:highlight w:val="green"/>
        </w:rPr>
        <w:t xml:space="preserve">The risk-coverage curve and its area introduced in this line of work [19]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[25] emphasize that machine learning systems in healthcare should be able to say "I do not know" for high-uncertainty cases, and survey abstention methods. Faghani et al. [26] outline emerging trends in uncertainty quantification for medical imaging, noting that an uncertainty measure allows experts to re-evaluate doubtful cases. In chest radiography specifically, Whata et al. [27] developed a Bayesian CNN that quantifies predictive uncertainty for multi-class classification, and Das et al. [28]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(37,397 frontal images) used for all reported analyses, and Figure 2 shows representative frontal radiographs for the target conditions.</w:t>
      </w:r>
    </w:p>
    <w:p>
      <w:pPr>
        <w:pStyle w:val="TableCaption"/>
        <w:spacing w:before="280" w:after="60" w:line="240" w:lineRule="auto"/>
        <w:jc w:val="center"/>
        <w:keepNext/>
        <w:keepLines/>
        <w:widowControl w:val="1"/>
      </w:pPr>
      <w:r>
        <w:rPr>
          <w:b/>
          <w:i/>
          <w:highlight w:val="yellow"/>
        </w:rPr>
        <w:t>Table 1:</w:t>
      </w:r>
      <w:r>
        <w:rPr>
          <w:b w:val="0"/>
          <w:i/>
        </w:rPr>
        <w:t xml:space="preserve"> </w:t>
      </w:r>
      <w:r>
        <w:rPr>
          <w:b w:val="0"/>
          <w:i/>
          <w:highlight w:val="yellow"/>
        </w:rPr>
        <w:t>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3447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4396</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1407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1125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1885</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5.0</w:t>
            </w:r>
          </w:p>
        </w:tc>
      </w:tr>
    </w:tbl>
    <w:p>
      <w:pPr>
        <w:pStyle w:val="BodyText"/>
        <w:jc w:val="center"/>
        <w:keepNext/>
        <w:keepLines/>
        <w:widowControl w:val="1"/>
      </w:pPr>
      <w:r>
        <w:drawing>
          <wp:inline>
            <wp:extent cx="5943600" cy="41605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5943600" cy="41605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Examples of chest X-ray images with their associated pathology labels. The figure displays representative frontal chest radiographs corresponding to various thoracic conditions, including Cardiomegaly, Consolidation, Edema, and Effusion, which are among the four pathologies studied in this work.</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[29]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green"/>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green"/>
        </w:rPr>
        <w:t xml:space="preserve">, where</w:t>
      </w:r>
      <w:r>
        <w:t xml:space="preserve"> </w:t>
      </w:r>
      <m:oMath>
        <m:sSub>
          <m:e>
            <m:r>
              <m:t>τ</m:t>
            </m:r>
          </m:e>
          <m:sub>
            <m:r>
              <m:t>i</m:t>
            </m:r>
          </m:sub>
        </m:sSub>
      </m:oMath>
      <w:r>
        <w:t xml:space="preserve"> </w:t>
      </w:r>
      <w:r>
        <w:rPr>
          <w:highlight w:val="green"/>
        </w:rPr>
        <w:t xml:space="preserve">is the calibrated entropy threshold for pathology</w:t>
      </w:r>
      <w:r>
        <w:t xml:space="preserve"> </w:t>
      </w:r>
      <m:oMath>
        <m:r>
          <m:t>i</m:t>
        </m:r>
      </m:oMath>
      <w:r>
        <w:rPr>
          <w:highlight w:val="green"/>
        </w:rPr>
        <w:t xml:space="preserve">. This rejection threshold is distinct from the probability threshold used to convert</w:t>
      </w:r>
      <w:r>
        <w:t xml:space="preserve"> </w:t>
      </w:r>
      <m:oMath>
        <m:sSub>
          <m:e>
            <m:r>
              <m:t>p</m:t>
            </m:r>
          </m:e>
          <m:sub>
            <m:r>
              <m:t>i</m:t>
            </m:r>
          </m:sub>
        </m:sSub>
      </m:oMath>
      <w:r>
        <w:t xml:space="preserve"> </w:t>
      </w:r>
      <w:r>
        <w:rPr>
          <w:highlight w:val="green"/>
        </w:rPr>
        <w:t xml:space="preserve">into a binary label; the latter sets the decision boundary, while</w:t>
      </w:r>
      <w:r>
        <w:t xml:space="preserve"> </w:t>
      </w:r>
      <m:oMath>
        <m:sSub>
          <m:e>
            <m:r>
              <m:t>τ</m:t>
            </m:r>
          </m:e>
          <m:sub>
            <m:r>
              <m:t>i</m:t>
            </m:r>
          </m:sub>
        </m:sSub>
      </m:oMath>
      <w:r>
        <w:t xml:space="preserve"> </w:t>
      </w:r>
      <w:r>
        <w:rPr>
          <w:highlight w:val="green"/>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p>
      <w:pPr>
        <w:pStyle w:val="BodyText"/>
        <w:jc w:val="both"/>
        <w:keepNext w:val="0"/>
        <w:keepLines w:val="0"/>
        <w:widowControl w:val="1"/>
      </w:pPr>
      <w:r>
        <w:rPr>
          <w:highlight w:val="green"/>
        </w:rPr>
        <w:t xml:space="preserve">Predictive entropy is computed on the backbone's raw per-pathology probability (the sigmoid output), with the operating-point normalization that the pretrained checkpoints apply by default disabled. That normalization rescales each pathology's output around a fixed training-source operating threshold, deforming the probability axis differently per pathology and per source, which distorts the entropy ranking used for deferral; the raw probability provides a consistent uncertainty axis across pathologies and datasets.</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green"/>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18,000 PadChest frontal images.</w:t>
      </w:r>
      <w:r>
        <w:t xml:space="preserve"> </w:t>
      </w:r>
      <w:r>
        <w:t xml:space="preserve">The backbone attains per-pathology discrimination in the range of AUC 0.77 to 0.94 across the three evaluation sources.</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Predictive entropy is informative about correctness: incorrect predictions concentrate at high entropy and correct predictions at low entropy (Figure 3), the signal that selective deferral exploits.</w:t>
      </w:r>
    </w:p>
    <w:p>
      <w:pPr>
        <w:pStyle w:val="BodyText"/>
        <w:jc w:val="center"/>
        <w:keepNext/>
        <w:keepLines/>
        <w:widowControl w:val="1"/>
      </w:pPr>
      <w:r>
        <w:drawing>
          <wp:inline>
            <wp:extent cx="5852160" cy="3474720"/>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Balanced error rate as a function of predictive-entropy quantile on NIH ChestX-ray14. The balanced error rate rises monotonically with predictive entropy, so deferring the highest-entropy predictions removes the most error-prone cases, which is what makes uncertainty-based deferral effective.</w:t>
      </w:r>
    </w:p>
    <w:p>
      <w:pPr>
        <w:pStyle w:val="BodyText"/>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pStyle w:val="TableCaption"/>
        <w:spacing w:before="280" w:after="60" w:line="240" w:lineRule="auto"/>
        <w:jc w:val="center"/>
        <w:keepNext/>
        <w:keepLines/>
        <w:widowControl w:val="1"/>
      </w:pPr>
      <w:r>
        <w:rPr>
          <w:b/>
          <w:i/>
          <w:highlight w:val="green"/>
        </w:rPr>
        <w:t>Table 2:</w:t>
      </w:r>
      <w:r>
        <w:rPr>
          <w:b w:val="0"/>
          <w:i/>
        </w:rPr>
        <w:t xml:space="preserve"> </w:t>
      </w:r>
      <w:r>
        <w:rPr>
          <w:b w:val="0"/>
          <w:i/>
          <w:highlight w:val="green"/>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0.844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+0.087 [0.058, 0.115]</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0.855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+0.075 [0.064, 0.087]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+0.084 [0.052, 0.123]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0.797</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+0.067 [0.049, 0.086]</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4:</w:t>
      </w:r>
      <w:r>
        <w:rPr>
          <w:b w:val="0"/>
          <w:i/>
        </w:rPr>
        <w:t xml:space="preserve"> </w:t>
      </w:r>
      <w:r>
        <w:rPr>
          <w:b w:val="0"/>
          <w:i/>
          <w:highlight w:val="green"/>
        </w:rPr>
        <w:t>Selective balanced accuracy as a function of coverage for each pathology. Balanced accuracy increases as the most uncertain predictions are deferred.</w:t>
      </w:r>
    </w:p>
    <w:p>
      <w:pPr>
        <w:pStyle w:val="BodyText"/>
        <w:jc w:val="both"/>
        <w:keepNext w:val="0"/>
        <w:keepLines w:val="0"/>
        <w:widowControl w:val="1"/>
      </w:pPr>
      <w:r>
        <w:rPr>
          <w:highlight w:val="green"/>
        </w:rPr>
        <w:t xml:space="preserve">On MIMIC-CXR (8,185 frontal images), the same calibrated-threshold analysis yields supported balanced-accuracy gains for all four pathologies (Cardiomegaly +0.071 [0.059, 0.086], Effusion +0.086 [0.073, 0.097], Edema +0.072 [0.058, 0.087], Consolidation +0.034 [0.014, 0.054];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0.91, Effusion 0.94, Consolidation 0.87), deferral improves balanced accuracy for all four pathologies (Cardiomegaly +0.080 [0.070, 0.091], Effusion +0.056 [0.043, 0.070], Edema +0.075 [0.058, 0.096], Consolidation +0.076 [0.051, 0.108]; 95% confidence intervals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green"/>
        </w:rPr>
        <w:t xml:space="preserve">A non-parametric bootstrap confirms these gains are not resampling artefacts: across 1,000 resamples the balanced accuracy with rejection exceeds the baseline for every pathology on the NIH ChestX-ray14 and MIMIC-CXR evaluation sets (Figure 5).</w:t>
      </w:r>
    </w:p>
    <w:p>
      <w:pPr>
        <w:pStyle w:val="BodyText"/>
        <w:jc w:val="center"/>
        <w:keepNext/>
        <w:keepLines/>
        <w:widowControl w:val="1"/>
      </w:pPr>
      <w:r>
        <w:drawing>
          <wp:inline>
            <wp:extent cx="5943600" cy="2080259"/>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208025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5:</w:t>
      </w:r>
      <w:r>
        <w:rPr>
          <w:b w:val="0"/>
          <w:i/>
        </w:rPr>
        <w:t xml:space="preserve"> </w:t>
      </w:r>
      <w:r>
        <w:rPr>
          <w:b w:val="0"/>
          <w:i/>
          <w:highlight w:val="green"/>
        </w:rPr>
        <w:t>Bootstrap validation of the balanced-accuracy change before and after rejection. Boxplots show the distribution of balanced accuracy over 1,000 bootstrap resamples at full coverage (baseline, blue) and at a coverage of 0.70 (with rejection, orange), per pathology, on the NIH ChestX-ray14 and MIMIC-CXR evaluation sets. The with-rejection distribution exceeds the baseline for every pathology.</w:t>
      </w:r>
    </w:p>
    <w:p>
      <w:pPr>
        <w:pStyle w:val="BodyText"/>
        <w:jc w:val="both"/>
        <w:keepNext w:val="0"/>
        <w:keepLines w:val="0"/>
        <w:widowControl w:val="1"/>
      </w:pPr>
      <w:r>
        <w:rPr>
          <w:highlight w:val="green"/>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(Table 5).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p>
      <w:pPr>
        <w:pStyle w:val="TableCaption"/>
        <w:spacing w:before="280" w:after="60" w:line="240" w:lineRule="auto"/>
        <w:jc w:val="center"/>
        <w:keepNext/>
        <w:keepLines/>
        <w:widowControl w:val="1"/>
      </w:pPr>
      <w:r>
        <w:rPr>
          <w:b/>
          <w:i/>
          <w:highlight w:val="green"/>
        </w:rPr>
        <w:t>Table 5:</w:t>
      </w:r>
      <w:r>
        <w:rPr>
          <w:b w:val="0"/>
          <w:i/>
        </w:rPr>
        <w:t xml:space="preserve"> </w:t>
      </w:r>
      <w:r>
        <w:rPr>
          <w:b w:val="0"/>
          <w:i/>
          <w:highlight w:val="green"/>
        </w:rPr>
        <w:t>Balanced-accuracy change at a coverage of 0.70 under different rejection rules (NIH ChestX-ray14, same evaluation split as Table 2). Random rejection is a control; margin and maximum-probability rejection are rank-identical to entropy on a deterministic backbone.</w:t>
      </w:r>
    </w:p>
    <w:tbl>
      <w:tblPr>
        <w:tblStyle w:val="Table"/>
        <w:tblW w:type="pct" w:w="5000"/>
        <w:jc w:val="center"/>
        <w:tblLook w:firstRow="1" w:lastRow="0" w:firstColumn="0" w:lastColumn="0" w:noHBand="0" w:noVBand="0" w:val="0020"/>
        <w:tblCaption w:val="Table 5: Balanced-accuracy change at a coverage of 0.70 under different rejection rules (NIH ChestX-ray14, same evaluation split as Table 2). Random rejection is a control; margin and maximum-probability rejection are rank-identical to entropy on a deterministic backbo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Random rejection (control)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Entropy rejection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Margin / max-probability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bl>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6:</w:t>
      </w:r>
      <w:r>
        <w:rPr>
          <w:b w:val="0"/>
          <w:i/>
        </w:rPr>
        <w:t xml:space="preserve"> </w:t>
      </w:r>
      <w:r>
        <w:rPr>
          <w:b w:val="0"/>
          <w:i/>
          <w:highlight w:val="green"/>
        </w:rPr>
        <w:t>Risk-coverage curves per pathology. The retained-prediction performance is traced against coverage as the entropy threshold varies. Area under the risk-coverage curve over the plotted coverage range (AURC; lower is better): Cardiomegaly 0.206, Effusion 0.180, Edema 0.207, Consolidation 0.239.</w:t>
      </w: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pStyle w:val="TableCaption"/>
        <w:spacing w:before="280" w:after="60" w:line="240" w:lineRule="auto"/>
        <w:jc w:val="center"/>
        <w:keepNext/>
        <w:keepLines/>
        <w:widowControl w:val="1"/>
      </w:pPr>
      <w:r>
        <w:rPr>
          <w:b/>
          <w:i/>
          <w:highlight w:val="green"/>
        </w:rPr>
        <w:t>Table 3:</w:t>
      </w:r>
      <w:r>
        <w:rPr>
          <w:b w:val="0"/>
          <w:i/>
        </w:rPr>
        <w:t xml:space="preserve"> </w:t>
      </w:r>
      <w:r>
        <w:rPr>
          <w:b w:val="0"/>
          <w:i/>
          <w:highlight w:val="green"/>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In-domain AUC (NIH)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Out-of-distribution AUC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0.763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0.694</w:t>
            </w:r>
          </w:p>
        </w:tc>
      </w:tr>
    </w:tbl>
    <w:p>
      <w:pPr>
        <w:pStyle w:val="BodyText"/>
        <w:spacing w:before="240"/>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all four pathologies (Cardiomegaly +0.098 [0.004, 0.204], Effusion +0.081 [0.050, 0.109], Edema +0.138 [0.055, 0.225], Consolidation +0.063 [0.014, 0.109]). The robustness extends to a geographically independent source: applying the NIH-trained model to PadChest, a Spanish cohort never seen during training, deferral improves retained balanced accuracy for all four pathologies (Cardiomegaly +0.078 [0.065, 0.090], Effusion +0.074 [0.058, 0.088], Edema +0.045 [0.025, 0.067], Consolidation +0.059 [0.007, 0.107]), all with 95% confidence intervals excluding zero. Selective prediction therefore provides a safeguard precisely where it is most needed, on out-of-distribution inputs.</w:t>
      </w:r>
    </w:p>
    <w:p>
      <w:pPr>
        <w:pStyle w:val="TableCaption"/>
        <w:spacing w:before="280" w:after="60" w:line="240" w:lineRule="auto"/>
        <w:jc w:val="center"/>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0.632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+0.044 [0.033, 0.058]</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0.716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+0.070 [0.059, 0.081]</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+0.022 [0.010, 0.035]</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0.619</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0.668</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+0.049 [0.022, 0.076]</w:t>
            </w:r>
          </w:p>
        </w:tc>
      </w:tr>
    </w:tbl>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similar across pathologies (0.37 to 0.43 at the 0.70 percentile), reflecting the consistent raw-probability uncertainty axis on which entropy is computed.</w:t>
      </w: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7:</w:t>
      </w:r>
      <w:r>
        <w:rPr>
          <w:b w:val="0"/>
          <w:i/>
        </w:rPr>
        <w:t xml:space="preserve"> </w:t>
      </w:r>
      <w:r>
        <w:rPr>
          <w:b w:val="0"/>
          <w:i/>
          <w:highlight w:val="green"/>
        </w:rPr>
        <w:t>Threshold sensitivity. Rejection rate and retained performance as a function of the calibration percentile.</w:t>
      </w: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green"/>
        </w:rPr>
        <w:t xml:space="preserve">The decision regions of accepted and deferred predictions can be examined spatially with class-activation mapping (Figure 8):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5943600" cy="4188822"/>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5943600" cy="418882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8:</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MIMIC-CXR, on an independently trained model (including when applied cross-dataset), and under leave-one-dataset-out domain shift in both transfer directions, with every target pathology supported on all three datasets;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r>
        <w:t xml:space="preserve"> </w:t>
      </w: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green"/>
        </w:rPr>
        <w:t xml:space="preserve">The operating point used throughout defers 30% of per-pathology predictions to recover balanced-accuracy gains of 0.07 to 0.09 on NIH ChestX-ray14;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(Table 5), so the benefit reflects the uncertainty ranking rather than the reduced caseload.</w:t>
      </w:r>
      <w:r>
        <w:t xml:space="preserve"> </w:t>
      </w:r>
      <w:r>
        <w:rPr>
          <w:highlight w:val="green"/>
        </w:rPr>
        <w:t xml:space="preserve">These findings extend the selective-classification framework, which formalizes the error-reject trade-off [17] and the risk-coverage view [19],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[21], the single-pass entropy rule attains comparable selective behaviour here (Table 5), and the gains persist under the dataset shift known to degrade uncertainty estimates [32] and cross-site generalization [31].</w:t>
      </w:r>
      <w:r>
        <w:t xml:space="preserve"> </w:t>
      </w:r>
      <w:r>
        <w:t xml:space="preserve">Together these findings support uncertainty-aware selective prediction as a route to safer, more trustworthy AI-assisted diagnosis.</w:t>
      </w:r>
    </w:p>
    <w:p>
      <w:pPr>
        <w:pStyle w:val="BodyText"/>
        <w:jc w:val="both"/>
        <w:keepNext w:val="0"/>
        <w:keepLines w:val="0"/>
        <w:widowControl w:val="1"/>
      </w:pPr>
      <w:r>
        <w:rPr>
          <w:highlight w:val="green"/>
        </w:rPr>
        <w:t xml:space="preserve">The cross-source behaviour is consistent with the documented fragility of chest X-ray models across acquisition sites, where networks exploit hospital- and protocol-specific confounders [31], and with label-definition shift between sources rather than a shift in the images themselves [33]. The datasets differ in scanner and protocol, patient population (PadChest is a Spanish outpatient cohort, MIMIC-CXR an intensive-care population), and in projection mix. For Cardiomegaly this projection mix is decisive: the cardiothoracic ratio that defines cardiomegaly is geometrically magnified on anteroposterior and portable acquisitions (the heart lies farther from the detector), so a model trained on a predominantly posteroanterior cohort over-calls cardiomegaly on anteroposterior-heavy sources. Stratifying by view makes this explicit: within the posteroanterior stratum the NIH-trained model transfers to PadChest with AUC 0.88 and deferral still improves balanced accuracy (+0.10 at a coverage of 0.70), whereas on the anteroposterior and portable subset discrimination falls to AUC 0.66. This is a geometric property of acquisition, not a pixel artifact that intensity normalization or contrast windowing can remove; selective prediction is the appropriate response, abstaining on the projections where the cue is unreliable.</w:t>
      </w:r>
    </w:p>
    <w:bookmarkStart w:id="51" w:name="limitations"/>
    <w:p>
      <w:pPr>
        <w:pStyle w:val="Heading3"/>
        <w:keepNext/>
        <w:keepLines/>
        <w:widowControl w:val="1"/>
      </w:pPr>
      <w:r>
        <w:rPr>
          <w:highlight w:val="green"/>
        </w:rPr>
        <w:t xml:space="preserve">5.1 Limitations</w:t>
      </w:r>
    </w:p>
    <w:p>
      <w:pPr>
        <w:pStyle w:val="FirstParagraph"/>
        <w:jc w:val="both"/>
        <w:keepNext w:val="0"/>
        <w:keepLines w:val="0"/>
        <w:widowControl w:val="1"/>
      </w:pPr>
      <w:r>
        <w:rPr>
          <w:highlight w:val="green"/>
        </w:rPr>
        <w:t xml:space="preserve">The validated regime has five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[30], is not assessed here and is left for future work.</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53"/>
    <w:bookmarkStart w:id="54"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w:t>
      </w:r>
    </w:p>
    <w:bookmarkEnd w:id="54"/>
    <w:bookmarkStart w:id="55" w:name="code-availability"/>
    <w:p>
      <w:pPr>
        <w:pStyle w:val="Heading2"/>
        <w:keepNext/>
        <w:keepLines/>
        <w:widowControl w:val="1"/>
      </w:pPr>
      <w:r>
        <w:rPr>
          <w:highlight w:val="green"/>
        </w:rPr>
        <w:t xml:space="preserve">Code Availability</w:t>
      </w:r>
    </w:p>
    <w:p>
      <w:pPr>
        <w:pStyle w:val="FirstParagraph"/>
        <w:jc w:val="both"/>
        <w:keepNext w:val="0"/>
        <w:keepLines w:val="0"/>
        <w:widowControl w:val="1"/>
      </w:pPr>
      <w:r>
        <w:rPr>
          <w:highlight w:val="green"/>
        </w:rPr>
        <w:t xml:space="preserve">Code, configuration files, and frozen per-image predictions used to reproduce every table and figure in this paper are available at github.com/ApartsinProjects/cxr-selective-rejection-code.</w:t>
      </w:r>
    </w:p>
    <w:bookmarkEnd w:id="55"/>
    <w:bookmarkStart w:id="56"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6"/>
    <w:bookmarkStart w:id="57"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10.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11.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12.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13.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14.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15.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16.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17.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18.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19.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20.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21.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22.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23.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24.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25.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26.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27.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28.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29.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30.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31. </w:t>
      </w: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32. </w:t>
      </w: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33. </w:t>
      </w:r>
      <w:r>
        <w:rPr>
          <w:highlight w:val="green"/>
        </w:rPr>
        <w:t xml:space="preserve">Cohen, J. P., Hashir, M., Brooks, R., Bertrand, H. (2020). On the limits of cross-domain generalization in automated X-ray prediction.</w:t>
      </w:r>
      <w:r>
        <w:t xml:space="preserve"> </w:t>
      </w:r>
      <w:r>
        <w:rPr>
          <w:i/>
          <w:iCs/>
          <w:highlight w:val="green"/>
        </w:rPr>
        <w:t xml:space="preserve">Medical Imaging with Deep Learning (MIDL)</w:t>
      </w:r>
      <w:r>
        <w:rPr>
          <w:highlight w:val="green"/>
        </w:rPr>
        <w:t xml:space="preserve">, PMLR 121, 136-155. arXiv:2002.02497.</w:t>
      </w:r>
    </w:p>
    <w:bookmarkEnd w:id="57"/>
    <w:bookmarkEnd w:id="58"/>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2026-06-05T14:16:23Z</dcterms:created>
  <dcterms:modified xsi:type="dcterms:W3CDTF">2026-06-05T14:16:23Z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