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Balanced error rate as a function of predictive-entropy quantile on NIH ChestX-ray14. The balanced error rate rises monotonically with predictive entropy, so deferring the highest-entropy predictions removes the most error-prone cases,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+0.084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the NIH ChestX-ray14 and MIMIC-CXR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80259"/>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0802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and MIMIC-CXR evaluation sets.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+0.070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2026-06-05T14:16:23Z</dcterms:created>
  <dcterms:modified xsi:type="dcterms:W3CDTF">2026-06-05T14:16:23Z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