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602181"/>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6021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Mean balanced error rate (averaged over the four pathologies) as a function of predictive-entropy quantile, for NIH ChestX-ray14, MIMIC-CXR, and PadChest. On all three datasets the balanced error rate is substantially higher at high predictive entropy than at low entropy, so deferring the highest-entropy predictions removes the most error-prone cases,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2026-06-05T15:13:44Z</dcterms:created>
  <dcterms:modified xsi:type="dcterms:W3CDTF">2026-06-05T15:13:44Z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