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color w:val="14471F"/>
          <w:sz w:val="32"/>
        </w:rPr>
        <w:t>Response to the Editor (Conditional Acceptance)</w:t>
      </w:r>
    </w:p>
    <w:p>
      <w:r>
        <w:rPr>
          <w:b/>
          <w:i w:val="0"/>
        </w:rPr>
        <w:t>Manuscript:</w:t>
      </w:r>
      <w:r>
        <w:rPr>
          <w:b w:val="0"/>
          <w:i w:val="0"/>
        </w:rPr>
        <w:t xml:space="preserve"> Selective Multipathology Chest X-Ray Classification via Rejection Mechanisms.</w:t>
      </w:r>
    </w:p>
    <w:p>
      <w:r>
        <w:rPr>
          <w:b w:val="0"/>
          <w:i w:val="0"/>
        </w:rPr>
        <w:t>We thank the handling editor for the in-principle acceptance and for the constructive conditions, which improve the transparency and reproducibility of the paper. We address each of the four points below and indicate where the corresponding changes appear in the revised manuscript.</w:t>
      </w:r>
    </w:p>
    <w:p>
      <w:pPr>
        <w:spacing w:before="320" w:after="120"/>
        <w:pBdr>
          <w:bottom w:val="single" w:sz="6" w:space="4" w:color="14471F"/>
        </w:pBdr>
      </w:pPr>
      <w:r>
        <w:rPr>
          <w:b/>
          <w:color w:val="14471F"/>
          <w:sz w:val="25"/>
        </w:rPr>
        <w:t>1. Exact dataset version</w:t>
      </w:r>
    </w:p>
    <w:p>
      <w:pPr>
        <w:ind w:left="432"/>
        <w:shd w:val="clear" w:color="auto" w:fill="F3F3F3"/>
      </w:pPr>
      <w:r>
        <w:rPr>
          <w:b w:val="0"/>
          <w:i/>
          <w:color w:val="555555"/>
        </w:rPr>
        <w:t>"The version used is currently unclear. The authors are encouraged to specify the exact version and ensure this information is clearly stated in the manuscript."</w:t>
      </w:r>
    </w:p>
    <w:p>
      <w:r>
        <w:rPr>
          <w:b w:val="0"/>
          <w:i w:val="0"/>
        </w:rPr>
        <w:t xml:space="preserve">We now state the exact version explicitly. All MIMIC-CXR images used in this study were obtained from </w:t>
      </w:r>
      <w:r>
        <w:rPr>
          <w:b/>
          <w:i w:val="0"/>
        </w:rPr>
        <w:t>MIMIC-CXR-JPG, version 2.1.0</w:t>
      </w:r>
      <w:r>
        <w:rPr>
          <w:b w:val="0"/>
          <w:i w:val="0"/>
        </w:rPr>
        <w:t xml:space="preserve"> (accessed via the PhysioNet version-2.1.0 resource; images retrieved through the PhysioNet cloud access point for that version). The version is stated in the Methods and in the Data Availability Statement.</w:t>
      </w:r>
    </w:p>
    <w:p>
      <w:pPr>
        <w:ind w:left="288"/>
        <w:shd w:val="clear" w:color="auto" w:fill="EEF6EE"/>
      </w:pPr>
      <w:r>
        <w:rPr>
          <w:b/>
          <w:i w:val="0"/>
          <w:sz w:val="19"/>
        </w:rPr>
        <w:t>Where:</w:t>
      </w:r>
      <w:r>
        <w:rPr>
          <w:b w:val="0"/>
          <w:i w:val="0"/>
          <w:sz w:val="19"/>
        </w:rPr>
        <w:t xml:space="preserve"> Section 3.2 (first sentence, "obtained from the MIMIC-CXR-JPG release, version 2.1.0"); Data Availability Statement.</w:t>
      </w:r>
    </w:p>
    <w:p>
      <w:pPr>
        <w:spacing w:before="320" w:after="120"/>
        <w:pBdr>
          <w:bottom w:val="single" w:sz="6" w:space="4" w:color="14471F"/>
        </w:pBdr>
      </w:pPr>
      <w:r>
        <w:rPr>
          <w:b/>
          <w:color w:val="14471F"/>
          <w:sz w:val="25"/>
        </w:rPr>
        <w:t>2. Required dataset citations</w:t>
      </w:r>
    </w:p>
    <w:p>
      <w:pPr>
        <w:ind w:left="432"/>
        <w:shd w:val="clear" w:color="auto" w:fill="F3F3F3"/>
      </w:pPr>
      <w:r>
        <w:rPr>
          <w:b w:val="0"/>
          <w:i/>
          <w:color w:val="555555"/>
        </w:rPr>
        <w:t>"Cite some papers according to the datasets statements in the webpage: the MIMIC-CXR PhysioNet resource, the original MIMIC-CXR publication, and the standard PhysioNet citation."</w:t>
      </w:r>
    </w:p>
    <w:p>
      <w:r>
        <w:rPr>
          <w:b w:val="0"/>
          <w:i w:val="0"/>
        </w:rPr>
        <w:t>We have added the standard citation set for the version actually used, and cite all three at the point where MIMIC-CXR is introduced:</w:t>
      </w:r>
    </w:p>
    <w:p>
      <w:pPr>
        <w:pStyle w:val="ListBullet"/>
      </w:pPr>
      <w:r>
        <w:rPr>
          <w:b w:val="0"/>
          <w:i w:val="0"/>
        </w:rPr>
        <w:t xml:space="preserve">the PhysioNet dataset resource for the exact version, </w:t>
      </w:r>
      <w:r>
        <w:rPr>
          <w:b/>
          <w:i w:val="0"/>
        </w:rPr>
        <w:t>MIMIC-CXR-JPG v2.1.0</w:t>
      </w:r>
      <w:r>
        <w:rPr>
          <w:b w:val="0"/>
          <w:i w:val="0"/>
        </w:rPr>
        <w:t xml:space="preserve"> (Johnson et al., 2024; https://doi.org/10.13026/jsn5-t979; RRID:SCR_007345);</w:t>
      </w:r>
    </w:p>
    <w:p>
      <w:pPr>
        <w:pStyle w:val="ListBullet"/>
      </w:pPr>
      <w:r>
        <w:rPr>
          <w:b w:val="0"/>
          <w:i w:val="0"/>
        </w:rPr>
        <w:t xml:space="preserve">the original MIMIC-CXR publication, </w:t>
      </w:r>
      <w:r>
        <w:rPr>
          <w:b/>
          <w:i w:val="0"/>
        </w:rPr>
        <w:t>Johnson et al., Scientific Data 6, 317 (2019)</w:t>
      </w:r>
      <w:r>
        <w:rPr>
          <w:b w:val="0"/>
          <w:i w:val="0"/>
        </w:rPr>
        <w:t xml:space="preserve"> (https://doi.org/10.1038/s41597-019-0322-0);</w:t>
      </w:r>
    </w:p>
    <w:p>
      <w:pPr>
        <w:pStyle w:val="ListBullet"/>
      </w:pPr>
      <w:r>
        <w:rPr>
          <w:b w:val="0"/>
          <w:i w:val="0"/>
        </w:rPr>
        <w:t xml:space="preserve">the standard PhysioNet citation, </w:t>
      </w:r>
      <w:r>
        <w:rPr>
          <w:b/>
          <w:i w:val="0"/>
        </w:rPr>
        <w:t>Goldberger et al., Circulation 101(23), e215-e220 (2000)</w:t>
      </w:r>
      <w:r>
        <w:rPr>
          <w:b w:val="0"/>
          <w:i w:val="0"/>
        </w:rPr>
        <w:t xml:space="preserve"> (https://doi.org/10.1161/01.CIR.101.23.e215).</w:t>
      </w:r>
    </w:p>
    <w:p>
      <w:r>
        <w:rPr>
          <w:b w:val="0"/>
          <w:i w:val="0"/>
        </w:rPr>
        <w:t xml:space="preserve">Because our images come from the JPG release, we cite the exact resource for the version used, </w:t>
      </w:r>
      <w:r>
        <w:rPr>
          <w:b/>
          <w:i w:val="0"/>
        </w:rPr>
        <w:t>MIMIC-CXR-JPG v2.1.0</w:t>
      </w:r>
      <w:r>
        <w:rPr>
          <w:b w:val="0"/>
          <w:i w:val="0"/>
        </w:rPr>
        <w:t xml:space="preserve"> (https://doi.org/10.13026/jsn5-t979), which is the dataset citation that the version-2.1.0 resource's own "When using this resource, please cite" guidance specifies in place of the older 2.0.0 database entry. We retain the original MIMIC-CXR publication (Johnson et al., </w:t>
      </w:r>
      <w:r>
        <w:rPr>
          <w:b w:val="0"/>
          <w:i/>
        </w:rPr>
        <w:t>Scientific Data</w:t>
      </w:r>
      <w:r>
        <w:rPr>
          <w:b w:val="0"/>
          <w:i w:val="0"/>
        </w:rPr>
        <w:t xml:space="preserve"> 6, 317, 2019) and the PhysioNet platform citation (Goldberger et al., </w:t>
      </w:r>
      <w:r>
        <w:rPr>
          <w:b w:val="0"/>
          <w:i/>
        </w:rPr>
        <w:t>Circulation</w:t>
      </w:r>
      <w:r>
        <w:rPr>
          <w:b w:val="0"/>
          <w:i w:val="0"/>
        </w:rPr>
        <w:t>, 2000) exactly as requested. Should the editor prefer that we additionally cite the base MIMIC-CXR Database at version 2.1.0, it is available at https://doi.org/10.13026/4jqj-jw95 and we are happy to add it.</w:t>
      </w:r>
    </w:p>
    <w:p>
      <w:pPr>
        <w:ind w:left="288"/>
        <w:shd w:val="clear" w:color="auto" w:fill="EEF6EE"/>
      </w:pPr>
      <w:r>
        <w:rPr>
          <w:b/>
          <w:i w:val="0"/>
          <w:sz w:val="19"/>
        </w:rPr>
        <w:t>Where:</w:t>
      </w:r>
      <w:r>
        <w:rPr>
          <w:b w:val="0"/>
          <w:i w:val="0"/>
          <w:sz w:val="19"/>
        </w:rPr>
        <w:t xml:space="preserve"> Section 3.2 (inline citations at the MIMIC-CXR mention); References list.</w:t>
      </w:r>
    </w:p>
    <w:p>
      <w:pPr>
        <w:spacing w:before="320" w:after="120"/>
        <w:pBdr>
          <w:bottom w:val="single" w:sz="6" w:space="4" w:color="14471F"/>
        </w:pBdr>
      </w:pPr>
      <w:r>
        <w:rPr>
          <w:b/>
          <w:color w:val="14471F"/>
          <w:sz w:val="25"/>
        </w:rPr>
        <w:t>3. Data Use Agreement and Data Availability Statement</w:t>
      </w:r>
    </w:p>
    <w:p>
      <w:pPr>
        <w:ind w:left="432"/>
        <w:shd w:val="clear" w:color="auto" w:fill="F3F3F3"/>
      </w:pPr>
      <w:r>
        <w:rPr>
          <w:b w:val="0"/>
          <w:i/>
          <w:color w:val="555555"/>
        </w:rPr>
        <w:t>"The DUA should be completed and signed, and the authors should explicitly confirm this in the manuscript. In addition, the Data Availability Statement should provide detailed information regarding data access... explain the reasons for the access restrictions and describe how interested researchers may obtain the data."</w:t>
      </w:r>
    </w:p>
    <w:p>
      <w:r>
        <w:rPr>
          <w:b w:val="0"/>
          <w:i w:val="0"/>
        </w:rPr>
        <w:t xml:space="preserve">We confirm that the author(s) who accessed MIMIC-CXR are credentialed PhysioNet users, completed the required human-subjects (CITI "Data or Specimens Only Research") training, and </w:t>
      </w:r>
      <w:r>
        <w:rPr>
          <w:b/>
          <w:i w:val="0"/>
        </w:rPr>
        <w:t>completed and signed the PhysioNet Credentialed Health Data Use Agreement</w:t>
      </w:r>
      <w:r>
        <w:rPr>
          <w:b w:val="0"/>
          <w:i w:val="0"/>
        </w:rPr>
        <w:t xml:space="preserve"> for MIMIC-CXR, and that the data were used solely in accordance with its terms. Co-authors who did not access the restricted images did not require separate credentialing. We now state this explicitly in the manuscript.</w:t>
      </w:r>
    </w:p>
    <w:p>
      <w:r>
        <w:rPr>
          <w:b w:val="0"/>
          <w:i w:val="0"/>
        </w:rPr>
        <w:t xml:space="preserve">We rewrote the Data Availability Statement to give per-dataset access detail. It explains that MIMIC-CXR-JPG is available only under PhysioNet </w:t>
      </w:r>
      <w:r>
        <w:rPr>
          <w:b w:val="0"/>
          <w:i/>
        </w:rPr>
        <w:t>credentialed</w:t>
      </w:r>
      <w:r>
        <w:rPr>
          <w:b w:val="0"/>
          <w:i w:val="0"/>
        </w:rPr>
        <w:t xml:space="preserve"> access (CITI training + signed DUA), that the DUA prohibits the authors from redistributing the images, and how any credentialed researcher can obtain the identical version 2.1.0 from PhysioNet. To support verification and reproduction without re-accessing the restricted raw images, the exact frozen per-image model predictions used for every table and figure are released with the code. Access terms for the freely available datasets (NIH ChestX-ray14, PadChest) and for CheXpert are also stated.</w:t>
      </w:r>
    </w:p>
    <w:p>
      <w:pPr>
        <w:ind w:left="288"/>
        <w:shd w:val="clear" w:color="auto" w:fill="EEF6EE"/>
      </w:pPr>
      <w:r>
        <w:rPr>
          <w:b/>
          <w:i w:val="0"/>
          <w:sz w:val="19"/>
        </w:rPr>
        <w:t>Where:</w:t>
      </w:r>
      <w:r>
        <w:rPr>
          <w:b w:val="0"/>
          <w:i w:val="0"/>
          <w:sz w:val="19"/>
        </w:rPr>
        <w:t xml:space="preserve"> Data Availability Statement (rewritten); DUA confirmation therein.</w:t>
      </w:r>
    </w:p>
    <w:p>
      <w:pPr>
        <w:spacing w:before="320" w:after="120"/>
        <w:pBdr>
          <w:bottom w:val="single" w:sz="6" w:space="4" w:color="14471F"/>
        </w:pBdr>
      </w:pPr>
      <w:r>
        <w:rPr>
          <w:b/>
          <w:color w:val="14471F"/>
          <w:sz w:val="25"/>
        </w:rPr>
        <w:t>4. Code deposit in a DOI-assigning repository</w:t>
      </w:r>
    </w:p>
    <w:p>
      <w:pPr>
        <w:ind w:left="432"/>
        <w:shd w:val="clear" w:color="auto" w:fill="F3F3F3"/>
      </w:pPr>
      <w:r>
        <w:rPr>
          <w:b w:val="0"/>
          <w:i/>
          <w:color w:val="555555"/>
        </w:rPr>
        <w:t>"...the underlying code must be deposited in a recognised DOI-assigning repository (e.g. Zenodo) and linked either from Methods or a dedicated Code Availability section."</w:t>
      </w:r>
    </w:p>
    <w:p>
      <w:r>
        <w:rPr>
          <w:b w:val="0"/>
          <w:i w:val="0"/>
        </w:rPr>
        <w:t xml:space="preserve">The full pipeline (code, configuration files, and frozen per-image predictions that reproduce every table and figure) is deposited in </w:t>
      </w:r>
      <w:r>
        <w:rPr>
          <w:b/>
          <w:i w:val="0"/>
        </w:rPr>
        <w:t>Zenodo</w:t>
      </w:r>
      <w:r>
        <w:rPr>
          <w:b w:val="0"/>
          <w:i w:val="0"/>
        </w:rPr>
        <w:t>, which assigns a permanent DOI (</w:t>
      </w:r>
      <w:r>
        <w:rPr>
          <w:b/>
          <w:i w:val="0"/>
        </w:rPr>
        <w:t>https://doi.org/10.5281/zenodo.21492081</w:t>
      </w:r>
      <w:r>
        <w:rPr>
          <w:b w:val="0"/>
          <w:i w:val="0"/>
        </w:rPr>
        <w:t>), in addition to the GitHub development repository. The Code Availability section links both.</w:t>
      </w:r>
    </w:p>
    <w:p>
      <w:pPr>
        <w:ind w:left="288"/>
        <w:shd w:val="clear" w:color="auto" w:fill="EEF6EE"/>
      </w:pPr>
      <w:r>
        <w:rPr>
          <w:b/>
          <w:i w:val="0"/>
          <w:sz w:val="19"/>
        </w:rPr>
        <w:t>Where:</w:t>
      </w:r>
      <w:r>
        <w:rPr>
          <w:b w:val="0"/>
          <w:i w:val="0"/>
          <w:sz w:val="19"/>
        </w:rPr>
        <w:t xml:space="preserve"> Code Availability Statement (GitHub repository plus the Zenodo DOI 10.5281/zenodo.21492081).</w:t>
      </w:r>
    </w:p>
    <w:p>
      <w:r>
        <w:rPr>
          <w:b w:val="0"/>
          <w:i w:val="0"/>
        </w:rPr>
        <w:t>We believe these changes fully satisfy the four conditions and thank the editor again for the positive assessment. We would be glad to make any further adjustments the editor considers helpful.</w:t>
      </w:r>
    </w:p>
    <w:p>
      <w:r>
        <w:rPr>
          <w:b w:val="0"/>
          <w:i w:val="0"/>
        </w:rPr>
        <w:t>Sincerely,</w:t>
      </w:r>
      <w:r>
        <w:br/>
      </w:r>
      <w:r>
        <w:rPr>
          <w:b w:val="0"/>
          <w:i w:val="0"/>
        </w:rPr>
        <w:t>The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