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w:t>
      </w:r>
      <w:r>
        <w:t xml:space="preserve"> </w:t>
      </w:r>
      <w:r>
        <w:rPr>
          <w:color w:val="C00030"/>
        </w:rPr>
        <w:t xml:space="preserve">Text highlighted in red</w:t>
      </w:r>
      <w:r>
        <w:t xml:space="preserve"> </w:t>
      </w:r>
      <w:r>
        <w:t xml:space="preserve">is newly added or edited in this draft; earlier changes remain in yellow.</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w:t>
      </w:r>
      <w:r>
        <w:t xml:space="preserve"> </w:t>
      </w:r>
      <w:r>
        <w:rPr>
          <w:color w:val="C00030"/>
        </w:rPr>
        <w:t xml:space="preserve">[44] (obtained from the MIMIC-CXR-JPG release, version 2.1.0 [43], distributed through PhysioNet [45])</w:t>
      </w:r>
      <w:r>
        <w:t xml:space="preserve">,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rPr>
          <w:color w:val="C00030"/>
        </w:rPr>
        <w:t xml:space="preserve">This study analysed existing third-party chest-radiograph datasets and generated no new patient data. Each dataset is available from its provider under that provider's access terms.</w:t>
      </w:r>
      <w:r>
        <w:t xml:space="preserve"> </w:t>
      </w:r>
      <w:r>
        <w:rPr>
          <w:b/>
          <w:bCs/>
          <w:color w:val="C00030"/>
        </w:rPr>
        <w:t xml:space="preserve">MIMIC-CXR-JPG (version 2.1.0)</w:t>
      </w:r>
      <w:r>
        <w:t xml:space="preserve"> </w:t>
      </w:r>
      <w:r>
        <w:rPr>
          <w:color w:val="C00030"/>
        </w:rPr>
        <w:t xml:space="preserve">is distributed by PhysioNet under</w:t>
      </w:r>
      <w:r>
        <w:t xml:space="preserve"> </w:t>
      </w:r>
      <w:r>
        <w:rPr>
          <w:i/>
          <w:iCs/>
          <w:color w:val="C00030"/>
        </w:rPr>
        <w:t xml:space="preserve">credentialed</w:t>
      </w:r>
      <w:r>
        <w:t xml:space="preserve"> </w:t>
      </w:r>
      <w:r>
        <w:rPr>
          <w:color w:val="C00030"/>
        </w:rP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who accessed MIMIC-CXR are credentialed PhysioNet users who completed this training and signed the Data Use Agreement, and the data were used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color w:val="C00030"/>
        </w:rPr>
        <w:t xml:space="preserve">NIH ChestX-ray14</w:t>
      </w:r>
      <w:r>
        <w:t xml:space="preserve"> </w:t>
      </w:r>
      <w:r>
        <w:rPr>
          <w:color w:val="C00030"/>
        </w:rPr>
        <w:t xml:space="preserve">is publicly available without restriction from the NIH Clinical Center (https://nihcc.app.box.com/v/ChestXray-NIHCC).</w:t>
      </w:r>
      <w:r>
        <w:t xml:space="preserve"> </w:t>
      </w:r>
      <w:r>
        <w:rPr>
          <w:b/>
          <w:bCs/>
          <w:color w:val="C00030"/>
        </w:rPr>
        <w:t xml:space="preserve">PadChest</w:t>
      </w:r>
      <w:r>
        <w:t xml:space="preserve"> </w:t>
      </w:r>
      <w:r>
        <w:rPr>
          <w:color w:val="C00030"/>
        </w:rPr>
        <w:t xml:space="preserve">is available from BIMCV (https://bimcv.cipf.es/bimcv-projects/padchest/) on acceptance of its data-use terms.</w:t>
      </w:r>
      <w:r>
        <w:t xml:space="preserve"> </w:t>
      </w:r>
      <w:r>
        <w:rPr>
          <w:b/>
          <w:bCs/>
          <w:color w:val="C00030"/>
        </w:rPr>
        <w:t xml:space="preserve">CheXpert</w:t>
      </w:r>
      <w:r>
        <w:t xml:space="preserve"> </w:t>
      </w:r>
      <w:r>
        <w:rPr>
          <w:color w:val="C00030"/>
        </w:rP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rPr>
          <w:color w:val="C00030"/>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r>
        <w:t xml:space="preserve"> </w:t>
      </w:r>
      <w:r>
        <w:rPr>
          <w:color w:val="C00030"/>
        </w:rPr>
        <w:t xml:space="preserve">A citable, versioned snapshot of this repository is permanently archived in Zenodo under the DOI https://doi.org/10.5281/zenodo.21492081.</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color w:val="C00030"/>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color w:val="C00030"/>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color w:val="C00030"/>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color w:val="C00030"/>
          <w:sz w:val="19"/>
        </w:rPr>
        <w:t xml:space="preserve">Scientific Data, 6</w:t>
      </w:r>
      <w:r>
        <w:rPr>
          <w:color w:val="C00030"/>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color w:val="C00030"/>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color w:val="C00030"/>
          <w:sz w:val="19"/>
        </w:rPr>
        <w:t xml:space="preserve">Circulation, 101</w:t>
      </w:r>
      <w:r>
        <w:rPr>
          <w:color w:val="C00030"/>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2026-07-22T11:47:21Z</dcterms:created>
  <dcterms:modified xsi:type="dcterms:W3CDTF">2026-07-22T11:47:21Z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