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Across three large public datasets (PadChest, NIH ChestX-ray14, and MIMIC-CXR),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and on an independently trained model. A leave-one-dataset-out evaluation characterizes selective behaviour under domain shift.</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Introduction</w:t>
      </w:r>
    </w:p>
    <w:p>
      <w:pPr>
        <w:pStyle w:val="FirstParagraph"/>
        <w:ind w:left="720" w:right="720" w:firstLine="0"/>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ind w:left="720" w:right="720" w:firstLine="0"/>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ind w:left="720" w:right="720" w:firstLine="0"/>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ind w:left="720" w:right="720" w:firstLine="0"/>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ind w:left="720" w:right="720" w:firstLine="0"/>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ind w:left="720" w:right="720" w:firstLine="0"/>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PadChest, NIH ChestX-ray14, and MIMIC-CXR.</w:t>
      </w:r>
    </w:p>
    <w:p>
      <w:pPr>
        <w:pStyle w:val="BodyText"/>
        <w:ind w:left="720" w:right="720" w:firstLine="0"/>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3"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18"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bookmarkEnd w:id="18"/>
    <w:bookmarkStart w:id="19"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19"/>
    <w:bookmarkStart w:id="20"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resized to 224x224 and normalized following the backbone convention; the calibration and evaluation splits are patient-level, and random seeds are fixed for reproducibility.</w:t>
      </w:r>
    </w:p>
    <w:bookmarkEnd w:id="20"/>
    <w:bookmarkStart w:id="21"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1"/>
    <w:bookmarkStart w:id="22"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4)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2"/>
    <w:bookmarkEnd w:id="23"/>
    <w:bookmarkStart w:id="41"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 The backbone attains per-pathology discrimination in the range of AUC 0.79 to 0.91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27"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5" name="Picture"/>
            <a:graphic>
              <a:graphicData uri="http://schemas.openxmlformats.org/drawingml/2006/picture">
                <pic:pic>
                  <pic:nvPicPr>
                    <pic:cNvPr descr="assets/selective_bacc_nih22k.png" id="26" name="Picture"/>
                    <pic:cNvPicPr>
                      <a:picLocks noChangeArrowheads="1" noChangeAspect="1"/>
                    </pic:cNvPicPr>
                  </pic:nvPicPr>
                  <pic:blipFill>
                    <a:blip r:embed="rId24"/>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Selective balanced accuracy as a function of coverage for each pathology. Balanced accuracy increases as the most uncertain predictions are deferred.</w:t>
      </w:r>
    </w:p>
    <w:bookmarkEnd w:id="27"/>
    <w:bookmarkStart w:id="31"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3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29" name="Picture"/>
            <a:graphic>
              <a:graphicData uri="http://schemas.openxmlformats.org/drawingml/2006/picture">
                <pic:pic>
                  <pic:nvPicPr>
                    <pic:cNvPr descr="assets/e1_risk_coverage_nih22k.png" id="30" name="Picture"/>
                    <pic:cNvPicPr>
                      <a:picLocks noChangeArrowheads="1" noChangeAspect="1"/>
                    </pic:cNvPicPr>
                  </pic:nvPicPr>
                  <pic:blipFill>
                    <a:blip r:embed="rId28"/>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Risk-coverage curves per pathology. The retained-prediction performance is traced against coverage as the entropy threshold varies.</w:t>
      </w:r>
    </w:p>
    <w:bookmarkEnd w:id="31"/>
    <w:bookmarkStart w:id="32"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bookmarkEnd w:id="32"/>
    <w:bookmarkStart w:id="36"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4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4" name="Picture"/>
            <a:graphic>
              <a:graphicData uri="http://schemas.openxmlformats.org/drawingml/2006/picture">
                <pic:pic>
                  <pic:nvPicPr>
                    <pic:cNvPr descr="assets/e4_threshold_sweep_nih22k.png" id="35" name="Picture"/>
                    <pic:cNvPicPr>
                      <a:picLocks noChangeArrowheads="1" noChangeAspect="1"/>
                    </pic:cNvPicPr>
                  </pic:nvPicPr>
                  <pic:blipFill>
                    <a:blip r:embed="rId33"/>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Threshold sensitivity. Rejection rate and retained performance as a function of the calibration percentile.</w:t>
      </w:r>
    </w:p>
    <w:bookmarkEnd w:id="36"/>
    <w:bookmarkStart w:id="40"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Model behavior around uncertain regions can be illustrated using input gradients, which capture the local sensitivity of predictions to small changes in the image. Confident predictions are expected to exhibit local smoothness, whereas predictions near a decision boundary are more likely to demonstrate elevated sensitivity. We compute input gradients for each image and recompute them after applying low-variance white Gaussian noise, quantifying gradient volatility using the signal-to-noise ratio between the original and perturbed maps. Rejected cases exhibit substantial gradient changes under minimal perturbations, indicating an unstable decision surface, whereas accepted cases show consistent gradient patterns.</w:t>
      </w:r>
    </w:p>
    <w:p>
      <w:pPr>
        <w:pStyle w:val="BodyText"/>
        <w:jc w:val="center"/>
        <w:keepNext/>
        <w:keepLines/>
        <w:widowControl w:val="1"/>
      </w:pPr>
      <w:r>
        <w:drawing>
          <wp:inline>
            <wp:extent cx="5943600" cy="4188822"/>
            <wp:effectExtent b="0" l="0" r="0" t="0"/>
            <wp:docPr descr="Grad-CAM borderline vs confident" title="" id="38" name="Picture"/>
            <a:graphic>
              <a:graphicData uri="http://schemas.openxmlformats.org/drawingml/2006/picture">
                <pic:pic>
                  <pic:nvPicPr>
                    <pic:cNvPr descr="assets/e5_gradcam_nih.png" id="39" name="Picture"/>
                    <pic:cNvPicPr>
                      <a:picLocks noChangeArrowheads="1" noChangeAspect="1"/>
                    </pic:cNvPicPr>
                  </pic:nvPicPr>
                  <pic:blipFill>
                    <a:blip r:embed="rId37"/>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5:</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 complementing the gradient-volatility analysis.</w:t>
      </w:r>
    </w:p>
    <w:bookmarkEnd w:id="40"/>
    <w:bookmarkEnd w:id="41"/>
    <w:bookmarkStart w:id="4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or low-prevalence findings such as Edema and Consolidation.</w:t>
      </w:r>
      <w:r>
        <w:t xml:space="preserve"> </w:t>
      </w:r>
      <w:r>
        <w:rPr>
          <w:highlight w:val="green"/>
        </w:rPr>
        <w:t xml:space="preserve">A leave-one-dataset-out evaluation quantifies the domain-shift penalty and shows the regime in which selective prediction is most valuable, since abstaining on uncertain cases reduces the risk associated with out-of-distribution inputs while preserving reliable predictions.</w:t>
      </w:r>
      <w:r>
        <w:t xml:space="preserve"> </w:t>
      </w:r>
      <w:r>
        <w:t xml:space="preserve">Together these findings support uncertainty-aware selective prediction as a route to safer, more trustworthy AI-assisted diagnosis.</w:t>
      </w:r>
    </w:p>
    <w:bookmarkEnd w:id="42"/>
    <w:bookmarkStart w:id="4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3"/>
    <w:bookmarkStart w:id="4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44"/>
    <w:bookmarkStart w:id="4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45"/>
    <w:bookmarkStart w:id="46"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46"/>
    <w:bookmarkEnd w:id="4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3" Type="http://schemas.openxmlformats.org/officeDocument/2006/relationships/image" Target="media/rId33.png"/><Relationship Id="rId37" Type="http://schemas.openxmlformats.org/officeDocument/2006/relationships/image" Target="media/rId37.png"/><Relationship Id="rId10" Type="http://schemas.openxmlformats.org/officeDocument/2006/relationships/image" Target="media/rId10.pn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2026-06-02T16:56:26Z</dcterms:created>
  <dcterms:modified xsi:type="dcterms:W3CDTF">2026-06-02T16:56:26Z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