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Working draft (v5).</w:t>
      </w:r>
      <w:r>
        <w:t xml:space="preserve"> </w:t>
      </w:r>
      <w:r>
        <w:rPr>
          <w:color w:val="0A7D32"/>
        </w:rPr>
        <w:t xml:space="preserve">Text highlighted in green</w:t>
      </w:r>
      <w:r>
        <w:t xml:space="preserve"> </w:t>
      </w:r>
      <w:r>
        <w:t xml:space="preserve">is changed in this editor conditional-acceptance round;</w:t>
      </w:r>
      <w:r>
        <w:t xml:space="preserve"> </w:t>
      </w:r>
      <w:r>
        <w:t xml:space="preserve">red</w:t>
      </w:r>
      <w:r>
        <w:t xml:space="preserve"> </w:t>
      </w:r>
      <w:r>
        <w:t xml:space="preserve">marks the reviewer round and yellow marks earlier changes.</w:t>
      </w:r>
    </w:p>
    <w:bookmarkStart w:id="60"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a relative reduction in balanced error of 25 to 36% (95% confidence intervals excluding zero). Every target pathology is also supported on MIMIC-CXR and PadChest, on an independently trained model evaluated cross-dataset on a source</w:t>
      </w:r>
      <w:r>
        <w:t xml:space="preserve"> </w:t>
      </w:r>
      <w:r>
        <w:rPr>
          <w:color w:val="C00030"/>
        </w:rPr>
        <w:t xml:space="preserve">excluded from its training</w:t>
      </w:r>
      <w:r>
        <w:rPr>
          <w:highlight w:val="yellow"/>
        </w:rPr>
        <w:t xml:space="preserve">,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r>
        <w:t xml:space="preserve"> </w:t>
      </w:r>
      <w:r>
        <w:rPr>
          <w:color w:val="C00030"/>
        </w:rPr>
        <w:t xml:space="preserve">This need spans diagnostic imaging broadly, including but not limited to oncologic applications; the present study addresses it for four common non-oncologic thoracic findings, described next.</w:t>
      </w:r>
    </w:p>
    <w:p>
      <w:pPr>
        <w:pStyle w:val="BodyText"/>
        <w:jc w:val="center"/>
        <w:keepNext/>
        <w:keepLines/>
        <w:widowControl w:val="1"/>
      </w:pPr>
      <w:r>
        <w:drawing>
          <wp:inline>
            <wp:extent cx="5943600" cy="1299298"/>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1299298"/>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r>
        <w:t xml:space="preserve"> </w:t>
      </w:r>
      <w:r>
        <w:rPr>
          <w:color w:val="C00030"/>
        </w:rPr>
        <w:t xml:space="preserve">Unlike SelectiveNet [3], which jointly trains a dedicated selection head end-to-end with the classifier to optimize a single global accuracy-coverage trade-off, the present framework applies a post-hoc, per-pathology entropy threshold to a frozen, already-trained multi-label backbone [4], with each pathology's threshold calibrated independently via quantile calibration. The novel contribution is therefore this per-pathology rejection-and-calibration layer and its multi-label, multi-dataset evaluation, not the underlying classifier, which is adopted unchanged from prior work [4].</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[5] introduced the ChestX-ray8 dataset (approximately 112,000 frontal radiographs, 14 labels) and demonstrated multi-label classification and localization of common thoracic diseases. Rajpurkar et al. [6] trained a 121-layer DenseNet (CheXNet) on ChestX-ray14 and reported radiologist-level pneumonia detection. The CheXpert dataset [7] includes 224,316 chest radiographs with uncertainty labels and has been used to show that CNN models can reach radiologist-level performance on several pathologies. Lakhani and Sundaram [8] classified tuberculosis with an AUC near 0.99; Majkowska et al. [9] matched radiologist performance on five findings; and Park et al. [10] applied a self-evolving vision transformer with knowledge distillation. Cohen et al. [4] study balanced batch sampling across multiple chest X-ray datasets to improve out-of-distribution generalization for Cardiomegaly, Consolidation, Edema, and Effusion, using a DenseNet-121 with a leave-one-dataset-out strategy across ChestX-ray8 [5], CheXpert [7], MIMIC-CXR [11], and PadChest [12] [13]; we adopt the corresponding TorchXRayVision backbone [4] and augment it with a rejection mechanism.</w:t>
      </w:r>
      <w:r>
        <w:t xml:space="preserve"> </w:t>
      </w:r>
      <w:r>
        <w:rPr>
          <w:highlight w:val="yellow"/>
        </w:rPr>
        <w:t xml:space="preserve">Cross-domain generalization in this setting is known to be fragile: Zech et al. [14] show that models can exploit hospital-specific confounders and degrade across acquisition sites, and Cohen et al. [13] attribute much of the cross-dataset gap to label shift rather than to a shift in the images themselves. Ovadia et al. [15]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[16] and machine learning [17] shows that increased uncertainty leads to greater sensitivity to small perturbations, often indicating operation near a decision boundary. Such instability motivates analyzing perturbation responses as a diagnostic tool [18] and is frequently leveraged in active learning [19],[20], where uncertain samples are prioritized for annotation. Selective classification, the reject option, allows a model to abstain on uncertain inputs to reduce errors. Chow [21] formalized the error-reject trade-off, and Cortes et al. [22] developed frameworks for learning with a reject option. For deep networks, Geifman and El-Yaniv [23] introduced a risk-coverage framework that thresholds the maximal softmax response to guarantee a user-specified error rate, and proposed SelectiveNet [3],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w:t>
      </w:r>
      <w:r>
        <w:t xml:space="preserve"> </w:t>
      </w:r>
      <w:r>
        <w:rPr>
          <w:highlight w:val="yellow"/>
        </w:rPr>
        <w:t xml:space="preserve">The risk-coverage curve and its area introduced in this line of work [23] provide the threshold-free evaluation we adopt in Section 4.</w:t>
      </w:r>
    </w:p>
    <w:p>
      <w:pPr>
        <w:pStyle w:val="BodyText"/>
        <w:jc w:val="both"/>
        <w:keepNext w:val="0"/>
        <w:keepLines w:val="0"/>
        <w:widowControl w:val="1"/>
      </w:pPr>
      <w:r>
        <w:rPr>
          <w:color w:val="C00030"/>
        </w:rPr>
        <w:t xml:space="preserve">Beyond entropy thresholding, the broader uncertainty-estimation literature includes Monte Carlo Dropout [28], Bayesian neural networks [29], deep ensembles [24], temperature-scaled confidence calibration [30], evidential deep learning [31], and conformal prediction [32], each estimating or calibrating predictive uncertainty by a different mechanism (stochastic multi-pass inference, explicit posterior modelling, model-committee disagreement, post-hoc rescaling, direct evidence parameterization, and distribution-free coverage guarantees, respectively). We adopt single-pass entropy thresholding on a frozen backbone in preference to these alternatives because it requires no retraining, no additional forward passes at inference, and no committee of models, making it the lowest-overhead selective mechanism to deploy on top of an already-validated multi-label classifier; Section 4.1 compares it empirically against a deep-ensemble disagreement signal and simpler confidence-based alternatives on the same evaluation split.</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[33] emphasize that machine learning systems in healthcare should be able to say "I do not know" for high-uncertainty cases, and survey abstention methods. Faghani et al. [34] outline emerging trends in uncertainty quantification for medical imaging, noting that an uncertainty measure allows experts to re-evaluate doubtful cases. In chest radiography specifically, Whata et al. [35] developed a Bayesian CNN that quantifies predictive uncertainty for multi-class classification, and Das et al. [36]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r>
        <w:t xml:space="preserve"> </w:t>
      </w:r>
      <w:r>
        <w:rPr>
          <w:color w:val="C00030"/>
        </w:rPr>
        <w:t xml:space="preserve">These four conditions were selected because they are the pathologies common to the label sets of all three source datasets (NIH ChestX-ray14, MIMIC-CXR, and PadChest) with sufficient positive prevalence for stable per-class threshold calibration (Table 1), which is what enables the cross-dataset and leave-one-dataset-out comparisons central to this study; pathologies present in only one or two sources could not support the same cross-source evaluation.</w:t>
      </w:r>
    </w:p>
    <w:p>
      <w:pPr>
        <w:pStyle w:val="TableCaption"/>
        <w:spacing w:before="280" w:after="60" w:line="240" w:lineRule="auto"/>
        <w:jc w:val="left"/>
        <w:keepNext/>
        <w:keepLines/>
        <w:widowControl w:val="1"/>
      </w:pPr>
      <w:r>
        <w:rPr>
          <w:b/>
          <w:i w:val="0"/>
          <w:color w:val="C00030"/>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w:t>
      </w:r>
      <w:r>
        <w:t xml:space="preserve"> </w:t>
      </w:r>
      <w:r>
        <w:rPr>
          <w:color w:val="0A7D32"/>
        </w:rPr>
        <w:t xml:space="preserve">[44] (obtained from the MIMIC-CXR-JPG release, version 2.1.0 [43], distributed through PhysioNet [45])</w:t>
      </w:r>
      <w:r>
        <w:t xml:space="preserve">,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[37]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[6],[7]. We employ a fine-tuning strategy with multi-domain balanced sampling, constructing each mini-batch to include an equal number of samples from each domain to encourage domain-invariant features [4].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[4],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p>
      <w:pPr>
        <w:pStyle w:val="BodyText"/>
        <w:jc w:val="both"/>
        <w:keepNext w:val="0"/>
        <w:keepLines w:val="0"/>
        <w:widowControl w:val="1"/>
      </w:pPr>
      <w:r>
        <w:rPr>
          <w:color w:val="C00030"/>
        </w:rPr>
        <w:t xml:space="preserve">Model training was performed on a single NVIDIA RTX 4090 (24 GB); inference, selective-prediction scoring, and the Grad-CAM analysis were run locally on a single NVIDIA RTX 2060 (6 GB). The independently trained weighted-BCE DenseNet-121 (6.96 M parameters) was trained for up to 15 epochs at batch size 64 on 16,000 NIH ChestX-ray14 frontal images (13,534 training / 2,466 validation, patient-level split), with early stopping at epoch 9 (best model at epoch 3); training and validation completed in under four minutes of wall-clock (about 24 s per epoch), reaching a best validation macro-AUC of 0.85. At inference, scoring 2,500 frontal images on the RTX 2060 takes approximately 150 to 165 s (of order 60 ms per image, including image decoding and preprocessing); the rejection mechanism itself operates on precomputed per-pathology probabilities and therefore adds negligible overhead beyond the backbone forward pass. The software environment is PyTorch 2.4 (CUDA 12.4) with TorchXRayVision 1.3.4.</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r>
        <w:t xml:space="preserve"> </w:t>
      </w:r>
      <w:r>
        <w:rPr>
          <w:color w:val="C00030"/>
        </w:rPr>
        <w:t xml:space="preserve">In practice this means a single image's report can carry a mixed accept/defer status across its four pathology fields (for example, Cardiomegaly accepted while Edema is deferred on the same image); the intended output is therefore a per-finding confidence flag alongside each pathology prediction, analogous to a structured radiology report annotated at the level of individual findings rather than a single accept/reject decision for the whole study. Empirically these per-finding decisions are correlated rather than independent: at the 0.70-coverage operating point on NIH ChestX-ray14, most images (40%) have no finding deferred and only 5% have all four deferred, while any two findings are co-deferred at 1.4 to 1.9 times the rate expected under independence (strongest for Consolidation with Effusion). Deferrals therefore concentrate on a minority of intrinsically harder images rather than spreading uniformly across the cohort, so the per-image review burden is lower than the 30% per-pathology rate alone would suggest.</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r>
        <w:t xml:space="preserve"> </w:t>
      </w:r>
      <w:r>
        <w:rPr>
          <w:color w:val="C00030"/>
        </w:rPr>
        <w:t xml:space="preserve">The calibration subset is drawn at the patient level, disjoint from both training and evaluation, following the same patient-level partitioning described in Section 3.2. To quantify threshold stability beyond the percentile sweep of Figure 7, calibration was repeated across ten independent random patient-level splits at a fixed operating point. The per-pathology entropy threshold is stable across splits (standard deviation at most 0.019 on NIH ChestX-ray14 and about 0.001 on MIMIC-CXR), and the balanced-accuracy gain at a coverage of 0.70 stays positive across all ten splits for Effusion, Edema, and Consolidation. Cardiomegaly is the most split-sensitive pathology (mean gain +0.07, with one split of ten marginally negative), consistent with its greater view dependence discussed in Section 5. In deployment, a practitioner selects the calibration percentile to match available radiologist capacity: Figure 7 reports the induced rejection rate and retained performance at each percentile, so a lower percentile can be chosen where expert-review capacity is scarce and a higher percentile where the cost of a missed finding is high.</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r>
        <w:t xml:space="preserve"> </w:t>
      </w:r>
      <w:r>
        <w:rPr>
          <w:color w:val="C00030"/>
        </w:rPr>
        <w:t xml:space="preserve">Balanced accuracy is used as the primary endpoint because the four target pathologies are prevalence-imbalanced (Table 1: 3.0-11.8% positive), so plain accuracy would be dominated by the majority (negative) class and could mask class-specific rejection benefit. The per-pathology 95% confidence intervals reported throughout (Tables 2 and 3) are not corrected for multiple comparisons. Each pathology is treated as an independent, pre-registered hypothesis defined by the study design, namely the same four conditions evaluated identically across datasets and transfer directions, rather than as one of many post hoc comparisons. We report the intervals as computed rather than family-wise adjusted, so that readers can apply their own correction if a more conservative reading is preferred.</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color w:val="C00030"/>
        </w:rPr>
        <w:t xml:space="preserve">The results below on MIMIC-CXR and PadChest are obtained with the primary backbone, for which these two sources are in-distribution (Section 3.3); the corresponding out-of-distribution evaluation, using single-source leave-one-dataset-out models, is reported separately in Section 4.3.</w:t>
      </w:r>
    </w:p>
    <w:p>
      <w:pPr>
        <w:pStyle w:val="BodyText"/>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r>
        <w:t xml:space="preserve"> </w:t>
      </w:r>
      <w:r>
        <w:rPr>
          <w:color w:val="C00030"/>
        </w:rPr>
        <w:t xml:space="preserve">On the full evaluation split, three further post-hoc estimators were each compared against single-pass entropy on the same images: Monte Carlo Dropout [28] (dropout retrofitted on the penultimate features, which the backbone otherwise lacks), Monte Carlo BatchNorm [38], and test-time augmentation [39]. None meaningfully exceeds it: Monte Carlo Dropout equals it, test-time augmentation matches it within noise at eight-fold the inference cost, and Monte Carlo BatchNorm is lower on all four pathologies (Supplementary Table S1). Temperature scaling [30], Platt scaling [40], and isotonic regression [41] are monotone rescalings of the score, so they preserve the entropy ordering and leave the selective gain unchanged, though temperature scaling does improve calibration (the expected calibration error falls, for example, from 0.15 to 0.09 for Cardiomegaly). A paired bootstrap further supports the advantage over the random control: the per-resample entropy-minus-random difference at a coverage of 0.70 has a 95% confidence interval excluding zero for all four pathologies. The proposed single forward-pass entropy rule is thus the least expensive of the estimators considered, requiring no retraining, repeated passes, or ensemble, yet it is matched or preferred throughout; the cheapest uncertainty signal is also the most practical to deploy.</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r>
        <w:t xml:space="preserve"> </w:t>
      </w:r>
      <w:r>
        <w:rPr>
          <w:color w:val="C00030"/>
        </w:rPr>
        <w:t xml:space="preserve">This visualization is presented as an illustrative, qualitative view of decision-region behaviour rather than a mechanistic validation of the rejection rule itself; the entropy-based rejection decision is computed directly from the predicted probability (Section 3.4), and Grad-CAM is not part of that decision pathway.</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color w:val="C00030"/>
        </w:rPr>
        <w:t xml:space="preserve">Across pathologies and views, deferral concentrates on the same kinds of cases: low-prevalence, harder-to-discriminate findings such as Edema (Section 4.1), and, for Cardiomegaly specifically, anteroposterior and portable acquisitions where the cardiothoracic-ratio cue is geometrically less reliable (below); a common thread is that the mechanism defers where the underlying visual cue is intrinsically weaker, rather than uniformly across all cases.</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This improvement in retained balanced accuracy under shift reflects the selective mechanism successfully filtering out the least reliable predictions on the shifted distribution; it does not imply that the underlying classifier's discrimination is itself robust to domain shift, which Section 4.3 shows is not the case (AUC falls substantially, e.g., from 0.864 to 0.687 for Cardiomegaly under NIH→MIMIC shift). The two observations are complementary rather than contradictory: an unreliable classifier can still be safely deployed with selective prediction, provided the uncertainty signal continues to track correctness under the shift, as it does here.</w:t>
      </w:r>
    </w:p>
    <w:p>
      <w:pPr>
        <w:pStyle w:val="BodyText"/>
        <w:jc w:val="both"/>
        <w:keepNext w:val="0"/>
        <w:keepLines w:val="0"/>
        <w:widowControl w:val="1"/>
      </w:pP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radiologist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r>
        <w:t xml:space="preserve"> </w:t>
      </w:r>
      <w:r>
        <w:rPr>
          <w:color w:val="C00030"/>
        </w:rPr>
        <w:t xml:space="preserve">This 30% figure is a per-pathology deferral rate, not a fraction of studies requiring full re-read: because rejection is evaluated independently per finding (Section 3.4), a deferred Cardiomegaly prediction does not imply the whole image needs review, only that one finding does. The rate is also broadly consistent with precedent in the selective-classification and clinical-AI-triage literature: SelectiveNet [3] itself reports and tunes coverage across 0.70-0.90 (10-30% rejection) as its standard operating range, and deployed AI stroke-triage systems have reported flagged-case (extra-review) rates in the range of roughly 10-48% depending on the system, which is comparable to or higher than the rate used here. We are not aware of a chest-X-ray-specific study that validates a 30% per-pathology deferral rate against measured radiologist workflow capacity, and we flag this as an open question rather than a settled one; a workload study of the kind described in Section 5.1 would be needed to establish it directly for this setting.</w:t>
      </w:r>
    </w:p>
    <w:p>
      <w:pPr>
        <w:pStyle w:val="BodyText"/>
        <w:jc w:val="both"/>
        <w:keepNext w:val="0"/>
        <w:keepLines w:val="0"/>
        <w:widowControl w:val="1"/>
      </w:pPr>
      <w:r>
        <w:rPr>
          <w:highlight w:val="yellow"/>
        </w:rPr>
        <w:t xml:space="preserve">These findings extend the selective-classification framework, which formalizes the error-reject trade-off [21] and the risk-coverage view [23],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[15] and cross-site generalization [14].</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[14], and with label-definition shift between sources rather than a shift in the images themselves [13].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[42], is not assessed here and is left for future work.</w:t>
      </w:r>
    </w:p>
    <w:p>
      <w:pPr>
        <w:pStyle w:val="BodyText"/>
        <w:jc w:val="both"/>
        <w:keepNext w:val="0"/>
        <w:keepLines w:val="0"/>
        <w:widowControl w:val="1"/>
      </w:pPr>
      <w:r>
        <w:rPr>
          <w:color w:val="C00030"/>
        </w:rPr>
        <w:t xml:space="preserve">Two further boundary conditions warrant explicit statement. Because the reference labels themselves carry known annotation noise, label errors near the decision boundary could inflate the apparent rejection benefit reported here. A mislabeled case is simultaneously more likely to sit at high predictive entropy and more likely to be scored as an error before rejection, so some fraction of the measured balanced-accuracy gain may reflect the mechanism filtering out label noise rather than genuine model uncertainty. The direction of the reported effect is not affected by this caveat, but its magnitude should be read with this in mind. Second, although the headline thresholds are reported from a single calibration split, a ten-split robustness check (Section 3.5) confirms that both the entropy thresholds and the 0.70-coverage gains are stable across independent calibration draws, so the reported operating point is not an artefact of one split; Cardiomegaly remains the most split-sensitive pathology and its per-split gain, while positive on average, is the least consistent of the four. On the clinical-integration side, a deferred case in this framework is intended to enter a radiologist's worklist as a flagged, per-finding item for either a second read or a priority read, analogous to how flagged studies are already triaged in existing double-reading and AI-triage workflows; validating that this specific integration improves outcomes, rather than assuming it, requires the prospective reader study noted above.</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r>
        <w:t xml:space="preserve"> </w:t>
      </w:r>
      <w:r>
        <w:rPr>
          <w:color w:val="C00030"/>
        </w:rPr>
        <w:t xml:space="preserve">Looking further ahead, the imaging-only signal used here is one input among several that could inform a more complete uncertainty-aware diagnostic pipeline; extending selective prediction to jointly consider non-imaging clinical information, and eventually multimodal data such as genomic or transcriptomic features, is a natural direction as such data becomes available alongside chest radiographs.</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rPr>
          <w:color w:val="0A7D32"/>
        </w:rPr>
        <w:t xml:space="preserve">This study analysed existing third-party chest-radiograph datasets and generated no new patient data. Each dataset is available from its provider under that provider's access terms.</w:t>
      </w:r>
      <w:r>
        <w:t xml:space="preserve"> </w:t>
      </w:r>
      <w:r>
        <w:rPr>
          <w:b/>
          <w:bCs/>
          <w:color w:val="0A7D32"/>
        </w:rPr>
        <w:t xml:space="preserve">MIMIC-CXR-JPG (version 2.1.0)</w:t>
      </w:r>
      <w:r>
        <w:t xml:space="preserve"> </w:t>
      </w:r>
      <w:r>
        <w:rPr>
          <w:color w:val="0A7D32"/>
        </w:rPr>
        <w:t xml:space="preserve">is distributed by PhysioNet under</w:t>
      </w:r>
      <w:r>
        <w:t xml:space="preserve"> </w:t>
      </w:r>
      <w:r>
        <w:rPr>
          <w:i/>
          <w:iCs/>
          <w:color w:val="0A7D32"/>
        </w:rPr>
        <w:t xml:space="preserve">credentialed</w:t>
      </w:r>
      <w:r>
        <w:t xml:space="preserve"> </w:t>
      </w:r>
      <w:r>
        <w:rPr>
          <w:color w:val="0A7D32"/>
        </w:rPr>
        <w:t xml:space="preserve">access (https://doi.org/10.13026/jsn5-t979): to download it, a researcher must become a credentialed PhysioNet user, complete the required human-subjects research (CITI "Data or Specimens Only Research") training, and sign the PhysioNet Credentialed Health Data Use Agreement (DUA). The authors completed this training and signed the Data Use Agreement, and used the data solely in accordance with its terms. Because the DUA prohibits redistribution, the authors cannot host the MIMIC-CXR images directly; however, any credentialed researcher can obtain the identical version 2.1.0 from PhysioNet, and, to enable verification and reproduction without re-accessing the raw images, the exact frozen per-image model predictions used for every table and figure are released with the code (see Code Availability).</w:t>
      </w:r>
      <w:r>
        <w:t xml:space="preserve"> </w:t>
      </w:r>
      <w:r>
        <w:rPr>
          <w:b/>
          <w:bCs/>
          <w:color w:val="0A7D32"/>
        </w:rPr>
        <w:t xml:space="preserve">NIH ChestX-ray14</w:t>
      </w:r>
      <w:r>
        <w:t xml:space="preserve"> </w:t>
      </w:r>
      <w:r>
        <w:rPr>
          <w:color w:val="0A7D32"/>
        </w:rPr>
        <w:t xml:space="preserve">is publicly available without restriction from the NIH Clinical Center (https://nihcc.app.box.com/v/ChestXray-NIHCC).</w:t>
      </w:r>
      <w:r>
        <w:t xml:space="preserve"> </w:t>
      </w:r>
      <w:r>
        <w:rPr>
          <w:b/>
          <w:bCs/>
          <w:color w:val="0A7D32"/>
        </w:rPr>
        <w:t xml:space="preserve">PadChest</w:t>
      </w:r>
      <w:r>
        <w:t xml:space="preserve"> </w:t>
      </w:r>
      <w:r>
        <w:rPr>
          <w:color w:val="0A7D32"/>
        </w:rPr>
        <w:t xml:space="preserve">is available from BIMCV (https://bimcv.cipf.es/bimcv-projects/padchest/) on acceptance of its data-use terms.</w:t>
      </w:r>
      <w:r>
        <w:t xml:space="preserve"> </w:t>
      </w:r>
      <w:r>
        <w:rPr>
          <w:b/>
          <w:bCs/>
          <w:color w:val="0A7D32"/>
        </w:rPr>
        <w:t xml:space="preserve">CheXpert</w:t>
      </w:r>
      <w:r>
        <w:t xml:space="preserve"> </w:t>
      </w:r>
      <w:r>
        <w:rPr>
          <w:color w:val="0A7D32"/>
        </w:rPr>
        <w:t xml:space="preserve">(used only in the released backbone's pretraining corpus, not scored in this study) is available from the Stanford Machine Learning Group (https://stanfordmlgroup.github.io/competitions/chexpert/) under its research-use agreement.</w:t>
      </w:r>
    </w:p>
    <w:bookmarkEnd w:id="54"/>
    <w:bookmarkStart w:id="55" w:name="code-availability"/>
    <w:p>
      <w:pPr>
        <w:pStyle w:val="Heading2"/>
        <w:keepNext/>
        <w:keepLines/>
        <w:widowControl w:val="1"/>
      </w:pPr>
      <w:r>
        <w:rPr>
          <w:color w:val="0A7D32"/>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r>
        <w:t xml:space="preserve"> </w:t>
      </w:r>
      <w:r>
        <w:rPr>
          <w:color w:val="0A7D32"/>
        </w:rPr>
        <w:t xml:space="preserve">A citable, versioned snapshot of this repository is permanently archived in Zenodo under the DOI https://doi.org/10.5281/zenodo.21492082.</w:t>
      </w:r>
    </w:p>
    <w:bookmarkEnd w:id="55"/>
    <w:bookmarkStart w:id="56" w:name="abbreviations"/>
    <w:p>
      <w:pPr>
        <w:pStyle w:val="Heading2"/>
        <w:keepNext/>
        <w:keepLines/>
        <w:widowControl w:val="1"/>
      </w:pPr>
      <w:r>
        <w:rPr>
          <w:color w:val="C00030"/>
        </w:rPr>
        <w:t xml:space="preserve">Abbreviations</w:t>
      </w:r>
    </w:p>
    <w:p>
      <w:pPr>
        <w:pStyle w:val="FirstParagraph"/>
        <w:jc w:val="both"/>
        <w:keepNext w:val="0"/>
        <w:keepLines w:val="0"/>
        <w:widowControl w:val="1"/>
      </w:pPr>
      <w:r>
        <w:rPr>
          <w:color w:val="C00030"/>
        </w:rPr>
        <w:t xml:space="preserve">AP: anteroposterior; AUC: area under the receiver operating characteristic curve; AURC: area under the risk-coverage curve; BCE: binary cross-entropy; BN: batch normalization; CI: confidence interval; CNN: convolutional neural network; ECE: expected calibration error; Grad-CAM: gradient-weighted class activation mapping; LODO: leave-one-dataset-out; MC Dropout: Monte Carlo Dropout; PA: posteroanterior; ReLU: rectified linear unit.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supplementary-material"/>
    <w:p>
      <w:pPr>
        <w:pStyle w:val="Heading2"/>
        <w:keepNext/>
        <w:keepLines/>
        <w:widowControl w:val="1"/>
      </w:pPr>
      <w:r>
        <w:rPr>
          <w:color w:val="C00030"/>
        </w:rPr>
        <w:t xml:space="preserve">Supplementary Material</w:t>
      </w:r>
    </w:p>
    <w:p>
      <w:pPr>
        <w:pStyle w:val="BodyText"/>
        <w:jc w:val="both"/>
        <w:keepNext w:val="0"/>
        <w:keepLines w:val="0"/>
        <w:widowControl w:val="1"/>
      </w:pPr>
      <w:r>
        <w:rPr>
          <w:color w:val="C00030"/>
        </w:rPr>
        <w:t xml:space="preserve">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w:t>
      </w:r>
    </w:p>
    <w:tbl>
      <w:tblPr>
        <w:tblStyle w:val="Table"/>
        <w:tblW w:type="pct" w:w="5000"/>
        <w:jc w:val="center"/>
        <w:tblLayout w:type="autofit"/>
        <w:tblLook w:firstRow="1" w:lastRow="0" w:firstColumn="0" w:lastColumn="0" w:noHBand="0" w:noVBand="0" w:val="0020"/>
        <w:tblCaption w:val="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
        <w:tblBorders>
          <w:top w:val="single" w:sz="10" w:color="4F6272"/>
          <w:bottom w:val="single" w:sz="10" w:color="4F6272"/>
          <w:insideH w:val="single" w:sz="5" w:color="9FB0C2"/>
          <w:left w:val="single" w:sz="6" w:color="9FB0C2"/>
          <w:right w:val="single" w:sz="6" w:color="9FB0C2"/>
          <w:insideV w:val="single" w:sz="5" w:color="D9E1E8"/>
        </w:tblBorders>
      </w:tblPr>
      <w:tblGrid>
        <w:gridCol w:w="2059"/>
        <w:gridCol w:w="3643"/>
        <w:gridCol w:w="1267"/>
        <w:gridCol w:w="95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Selective gain at 0.70 coverage (Cardiomegaly / Effusion / Edema / Consolidation)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Evaluation set (n)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Exceeds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Single-pass entropy (proposed)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+0.087 / +0.075 / +0.085 / +0.067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reference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Margin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Maximum-probability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Temperature-scaled confidence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rank-preserving (same gains as Table 2); expected calibration error improves, e.g. 0.149 → 0.086 for 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Deep-ensemble disagreement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−0.019 / +0.034 / −0.050 / −0.033 (entropy on same subset: +0.028 / −0.006 / +0.052 / +0.069)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per-model (1,244)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Dropout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+0.083 / +0.077 / +0.088 / +0.071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(mean +0.080, equal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BatchNorm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+0.006 / +0.051 / +0.035 / +0.048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(below entropy on all four)</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Test-time augmentation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+0.098 / +0.077 / +0.086 / +0.064 (entropy of the mean over eight augmentations; augmentation-variance deferral is far weaker, −0.22 to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(matches within noise, +0.001 on the mean, at eight-fold cost)</w:t>
            </w:r>
          </w:p>
        </w:tc>
      </w:tr>
    </w:tbl>
    <w:bookmarkEnd w:id="58"/>
    <w:bookmarkStart w:id="5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9"/>
        </w:rPr>
        <w:t xml:space="preserve">1. </w:t>
      </w:r>
      <w:r>
        <w:rPr>
          <w:sz w:val="19"/>
        </w:rPr>
        <w:t xml:space="preserve">Sufian, M. A., Hamzi, W., Sharifi, T., Zaman, S., Alsadder, L., Lee, E., Hakim, A., &amp; Hamzi, B. (2024). AI-driven thoracic X-ray diagnostics: Transformative transfer learning for clinical validation in pulmonary radiography.</w:t>
      </w:r>
      <w:r>
        <w:rPr>
          <w:sz w:val="19"/>
        </w:rPr>
        <w:t xml:space="preserve"> </w:t>
      </w:r>
      <w:r>
        <w:rPr>
          <w:i/>
          <w:iCs/>
          <w:sz w:val="19"/>
        </w:rPr>
        <w:t xml:space="preserve">Journal of Personalized Medicine, 14</w:t>
      </w:r>
      <w:r>
        <w:rPr>
          <w:sz w:val="19"/>
        </w:rPr>
        <w:t xml:space="preserve">(8), 856. https://doi.org/10.3390/jpm14080856</w:t>
      </w:r>
    </w:p>
    <w:p>
      <w:pPr>
        <w:pStyle w:val="ReferenceEntry"/>
        <w:spacing w:after="100"/>
        <w:ind w:left="475" w:hanging="475"/>
        <w:jc w:val="left"/>
        <w:keepNext w:val="0"/>
        <w:keepLines w:val="0"/>
        <w:widowControl w:val="1"/>
      </w:pPr>
      <w:r>
        <w:rPr>
          <w:rFonts w:ascii="Georgia" w:hAnsi="Georgia"/>
          <w:sz w:val="19"/>
        </w:rPr>
        <w:t xml:space="preserve">2. </w:t>
      </w:r>
      <w:r>
        <w:rPr>
          <w:sz w:val="19"/>
        </w:rPr>
        <w:t xml:space="preserve">Arulananth, T. S., Prakash, S. W., Ayyasamy, R. K., Kavitha, V. P., Kuppusamy, P. G., &amp; Chinnasamy, P. (2024). Classification of paediatric pneumonia using modified DenseNet-121 deep-learning model.</w:t>
      </w:r>
      <w:r>
        <w:rPr>
          <w:sz w:val="19"/>
        </w:rPr>
        <w:t xml:space="preserve"> </w:t>
      </w:r>
      <w:r>
        <w:rPr>
          <w:i/>
          <w:iCs/>
          <w:sz w:val="19"/>
        </w:rPr>
        <w:t xml:space="preserve">IEEE Access, 12</w:t>
      </w:r>
      <w:r>
        <w:rPr>
          <w:sz w:val="19"/>
        </w:rPr>
        <w:t xml:space="preserve">, 35716-35727. https://doi.org/10.1109/ACCESS.2024.3371151</w:t>
      </w:r>
    </w:p>
    <w:p>
      <w:pPr>
        <w:pStyle w:val="ReferenceEntry"/>
        <w:spacing w:after="100"/>
        <w:ind w:left="475" w:hanging="475"/>
        <w:jc w:val="left"/>
        <w:keepNext w:val="0"/>
        <w:keepLines w:val="0"/>
        <w:widowControl w:val="1"/>
      </w:pPr>
      <w:r>
        <w:rPr>
          <w:rFonts w:ascii="Georgia" w:hAnsi="Georgia"/>
          <w:sz w:val="19"/>
        </w:rPr>
        <w:t xml:space="preserve">3. </w:t>
      </w:r>
      <w:r>
        <w:rPr>
          <w:sz w:val="19"/>
        </w:rPr>
        <w:t xml:space="preserve">Geifman, Y., &amp; El-Yaniv, R. (2019). SelectiveNet: A deep neural network with an integrated reject option. In</w:t>
      </w:r>
      <w:r>
        <w:rPr>
          <w:sz w:val="19"/>
        </w:rPr>
        <w:t xml:space="preserve"> </w:t>
      </w:r>
      <w:r>
        <w:rPr>
          <w:i/>
          <w:iCs/>
          <w:sz w:val="19"/>
        </w:rPr>
        <w:t xml:space="preserve">Proceedings of the 36th International Conference on Machine Learning (ICML 2019)</w:t>
      </w:r>
      <w:r>
        <w:rPr>
          <w:sz w:val="19"/>
        </w:rPr>
        <w:t xml:space="preserve"> </w:t>
      </w:r>
      <w:r>
        <w:rPr>
          <w:sz w:val="19"/>
        </w:rPr>
        <w:t xml:space="preserve">(Proceedings of Machine Learning Research, Vol. 97, pp. 2151-2159). PMLR. https://proceedings.mlr.press/v97/geifman19a.html</w:t>
      </w:r>
    </w:p>
    <w:p>
      <w:pPr>
        <w:pStyle w:val="ReferenceEntry"/>
        <w:spacing w:after="100"/>
        <w:ind w:left="475" w:hanging="475"/>
        <w:jc w:val="left"/>
        <w:keepNext w:val="0"/>
        <w:keepLines w:val="0"/>
        <w:widowControl w:val="1"/>
      </w:pPr>
      <w:r>
        <w:rPr>
          <w:rFonts w:ascii="Georgia" w:hAnsi="Georgia"/>
          <w:sz w:val="19"/>
        </w:rPr>
        <w:t xml:space="preserve">4. </w:t>
      </w:r>
      <w:r>
        <w:rPr>
          <w:sz w:val="19"/>
        </w:rPr>
        <w:t xml:space="preserve">Cohen, J. P., Viviano, J. D., Bertin, P., Morrison, P., Torabian, P., Guarrera, M., Lungren, M. P., Chaudhari, A., Brooks, R., Hashir, M., &amp; Bertrand, H. (2021). TorchXRayVision: A library of chest X-ray datasets and models.</w:t>
      </w:r>
      <w:r>
        <w:rPr>
          <w:sz w:val="19"/>
        </w:rPr>
        <w:t xml:space="preserve"> </w:t>
      </w:r>
      <w:r>
        <w:rPr>
          <w:i/>
          <w:iCs/>
          <w:sz w:val="19"/>
        </w:rPr>
        <w:t xml:space="preserve">arXiv</w:t>
      </w:r>
      <w:r>
        <w:rPr>
          <w:sz w:val="19"/>
        </w:rPr>
        <w:t xml:space="preserve">. https://arxiv.org/abs/2111.00595</w:t>
      </w:r>
    </w:p>
    <w:p>
      <w:pPr>
        <w:pStyle w:val="ReferenceEntry"/>
        <w:spacing w:after="100"/>
        <w:ind w:left="475" w:hanging="475"/>
        <w:jc w:val="left"/>
        <w:keepNext w:val="0"/>
        <w:keepLines w:val="0"/>
        <w:widowControl w:val="1"/>
      </w:pPr>
      <w:r>
        <w:rPr>
          <w:rFonts w:ascii="Georgia" w:hAnsi="Georgia"/>
          <w:sz w:val="19"/>
        </w:rPr>
        <w:t xml:space="preserve">5. </w:t>
      </w:r>
      <w:r>
        <w:rPr>
          <w:sz w:val="19"/>
        </w:rPr>
        <w:t xml:space="preserve">Wang, X., Peng, Y., Lu, L., Lu, Z., Bagheri, M., &amp; Summers, R. M. (2017). ChestX-ray8: Hospital-scale chest X-ray database and benchmarks on weakly-supervised classification and localization of common thorax diseases.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2097-2106). IEEE. https://doi.org/10.1109/CVPR.2017.369</w:t>
      </w:r>
    </w:p>
    <w:p>
      <w:pPr>
        <w:pStyle w:val="ReferenceEntry"/>
        <w:spacing w:after="100"/>
        <w:ind w:left="475" w:hanging="475"/>
        <w:jc w:val="left"/>
        <w:keepNext w:val="0"/>
        <w:keepLines w:val="0"/>
        <w:widowControl w:val="1"/>
      </w:pPr>
      <w:r>
        <w:rPr>
          <w:rFonts w:ascii="Georgia" w:hAnsi="Georgia"/>
          <w:sz w:val="19"/>
        </w:rPr>
        <w:t xml:space="preserve">6. </w:t>
      </w:r>
      <w:r>
        <w:rPr>
          <w:sz w:val="19"/>
        </w:rPr>
        <w:t xml:space="preserve">Rajpurkar, P., Irvin, J., Zhu, K., Yang, B., Mehta, H., Duan, T., Ding, D., Bagul, A., Langlotz, C., Shpanskaya, K., Lungren, M. P., &amp; Ng, A. Y. (2017). CheXNet: Radiologist-level pneumonia detection on chest X-rays with deep learning.</w:t>
      </w:r>
      <w:r>
        <w:rPr>
          <w:sz w:val="19"/>
        </w:rPr>
        <w:t xml:space="preserve"> </w:t>
      </w:r>
      <w:r>
        <w:rPr>
          <w:i/>
          <w:iCs/>
          <w:sz w:val="19"/>
        </w:rPr>
        <w:t xml:space="preserve">arXiv</w:t>
      </w:r>
      <w:r>
        <w:rPr>
          <w:sz w:val="19"/>
        </w:rPr>
        <w:t xml:space="preserve">. https://arxiv.org/abs/1711.05225</w:t>
      </w:r>
    </w:p>
    <w:p>
      <w:pPr>
        <w:pStyle w:val="ReferenceEntry"/>
        <w:spacing w:after="100"/>
        <w:ind w:left="475" w:hanging="475"/>
        <w:jc w:val="left"/>
        <w:keepNext w:val="0"/>
        <w:keepLines w:val="0"/>
        <w:widowControl w:val="1"/>
      </w:pPr>
      <w:r>
        <w:rPr>
          <w:rFonts w:ascii="Georgia" w:hAnsi="Georgia"/>
          <w:sz w:val="19"/>
        </w:rPr>
        <w:t xml:space="preserve">7. </w:t>
      </w:r>
      <w:r>
        <w:rPr>
          <w:sz w:val="19"/>
        </w:rP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rPr>
          <w:sz w:val="19"/>
        </w:rPr>
        <w:t xml:space="preserve"> </w:t>
      </w:r>
      <w:r>
        <w:rPr>
          <w:i/>
          <w:iCs/>
          <w:sz w:val="19"/>
        </w:rPr>
        <w:t xml:space="preserve">Proceedings of the AAAI Conference on Artificial Intelligence, 33</w:t>
      </w:r>
      <w:r>
        <w:rPr>
          <w:sz w:val="19"/>
        </w:rPr>
        <w:t xml:space="preserve">(1), 590-597. https://doi.org/10.1609/aaai.v33i01.3301590</w:t>
      </w:r>
    </w:p>
    <w:p>
      <w:pPr>
        <w:pStyle w:val="ReferenceEntry"/>
        <w:spacing w:after="100"/>
        <w:ind w:left="475" w:hanging="475"/>
        <w:jc w:val="left"/>
        <w:keepNext w:val="0"/>
        <w:keepLines w:val="0"/>
        <w:widowControl w:val="1"/>
      </w:pPr>
      <w:r>
        <w:rPr>
          <w:rFonts w:ascii="Georgia" w:hAnsi="Georgia"/>
          <w:sz w:val="19"/>
        </w:rPr>
        <w:t xml:space="preserve">8. </w:t>
      </w:r>
      <w:r>
        <w:rPr>
          <w:sz w:val="19"/>
        </w:rPr>
        <w:t xml:space="preserve">Lakhani, P., &amp; Sundaram, B. (2017). Deep learning at chest radiography: Automated classification of pulmonary tuberculosis by using convolutional neural networks.</w:t>
      </w:r>
      <w:r>
        <w:rPr>
          <w:sz w:val="19"/>
        </w:rPr>
        <w:t xml:space="preserve"> </w:t>
      </w:r>
      <w:r>
        <w:rPr>
          <w:i/>
          <w:iCs/>
          <w:sz w:val="19"/>
        </w:rPr>
        <w:t xml:space="preserve">Radiology, 284</w:t>
      </w:r>
      <w:r>
        <w:rPr>
          <w:sz w:val="19"/>
        </w:rPr>
        <w:t xml:space="preserve">(2), 574-582. https://doi.org/10.1148/radiol.2017162326</w:t>
      </w:r>
    </w:p>
    <w:p>
      <w:pPr>
        <w:pStyle w:val="ReferenceEntry"/>
        <w:spacing w:after="100"/>
        <w:ind w:left="475" w:hanging="475"/>
        <w:jc w:val="left"/>
        <w:keepNext w:val="0"/>
        <w:keepLines w:val="0"/>
        <w:widowControl w:val="1"/>
      </w:pPr>
      <w:r>
        <w:rPr>
          <w:rFonts w:ascii="Georgia" w:hAnsi="Georgia"/>
          <w:sz w:val="19"/>
        </w:rPr>
        <w:t xml:space="preserve">9. </w:t>
      </w:r>
      <w:r>
        <w:rPr>
          <w:sz w:val="19"/>
        </w:rP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rPr>
          <w:sz w:val="19"/>
        </w:rPr>
        <w:t xml:space="preserve"> </w:t>
      </w:r>
      <w:r>
        <w:rPr>
          <w:i/>
          <w:iCs/>
          <w:sz w:val="19"/>
        </w:rPr>
        <w:t xml:space="preserve">Radiology, 294</w:t>
      </w:r>
      <w:r>
        <w:rPr>
          <w:sz w:val="19"/>
        </w:rPr>
        <w:t xml:space="preserve">(2), 421-431. https://doi.org/10.1148/radiol.2019191293</w:t>
      </w:r>
    </w:p>
    <w:p>
      <w:pPr>
        <w:pStyle w:val="ReferenceEntry"/>
        <w:spacing w:after="100"/>
        <w:ind w:left="475" w:hanging="475"/>
        <w:jc w:val="left"/>
        <w:keepNext w:val="0"/>
        <w:keepLines w:val="0"/>
        <w:widowControl w:val="1"/>
      </w:pPr>
      <w:r>
        <w:rPr>
          <w:rFonts w:ascii="Georgia" w:hAnsi="Georgia"/>
          <w:sz w:val="19"/>
        </w:rPr>
        <w:t xml:space="preserve">10. </w:t>
      </w:r>
      <w:r>
        <w:rPr>
          <w:sz w:val="19"/>
        </w:rPr>
        <w:t xml:space="preserve">Park, S., Kim, G., Oh, Y., Seo, J. B., Lee, S. M., Kim, J. H., Moon, S., Lim, J.-K., Park, C. M., &amp; Ye, J. C. (2022). Self-evolving vision transformer for chest X-ray diagnosis through knowledge distillation.</w:t>
      </w:r>
      <w:r>
        <w:rPr>
          <w:sz w:val="19"/>
        </w:rPr>
        <w:t xml:space="preserve"> </w:t>
      </w:r>
      <w:r>
        <w:rPr>
          <w:i/>
          <w:iCs/>
          <w:sz w:val="19"/>
        </w:rPr>
        <w:t xml:space="preserve">Nature Communications, 13</w:t>
      </w:r>
      <w:r>
        <w:rPr>
          <w:sz w:val="19"/>
        </w:rPr>
        <w:t xml:space="preserve">, 3848. https://doi.org/10.1038/s41467-022-31514-x</w:t>
      </w:r>
    </w:p>
    <w:p>
      <w:pPr>
        <w:pStyle w:val="ReferenceEntry"/>
        <w:spacing w:after="100"/>
        <w:ind w:left="475" w:hanging="475"/>
        <w:jc w:val="left"/>
        <w:keepNext w:val="0"/>
        <w:keepLines w:val="0"/>
        <w:widowControl w:val="1"/>
      </w:pPr>
      <w:r>
        <w:rPr>
          <w:rFonts w:ascii="Georgia" w:hAnsi="Georgia"/>
          <w:sz w:val="19"/>
        </w:rPr>
        <w:t xml:space="preserve">11. </w:t>
      </w:r>
      <w:r>
        <w:rPr>
          <w:sz w:val="19"/>
        </w:rPr>
        <w:t xml:space="preserve">Johnson, A. E. W., Pollard, T. J., Greenbaum, N. R., Lungren, M. P., Deng, C.-Y., Peng, Y., Lu, Z., Mark, R. G., Berkowitz, S. J., &amp; Horng, S. (2019). MIMIC-CXR-JPG, a large publicly available database of labeled chest radiographs.</w:t>
      </w:r>
      <w:r>
        <w:rPr>
          <w:sz w:val="19"/>
        </w:rPr>
        <w:t xml:space="preserve"> </w:t>
      </w:r>
      <w:r>
        <w:rPr>
          <w:i/>
          <w:iCs/>
          <w:sz w:val="19"/>
        </w:rPr>
        <w:t xml:space="preserve">arXiv</w:t>
      </w:r>
      <w:r>
        <w:rPr>
          <w:sz w:val="19"/>
        </w:rPr>
        <w:t xml:space="preserve">. https://arxiv.org/abs/1901.07042</w:t>
      </w:r>
    </w:p>
    <w:p>
      <w:pPr>
        <w:pStyle w:val="ReferenceEntry"/>
        <w:spacing w:after="100"/>
        <w:ind w:left="475" w:hanging="475"/>
        <w:jc w:val="left"/>
        <w:keepNext w:val="0"/>
        <w:keepLines w:val="0"/>
        <w:widowControl w:val="1"/>
      </w:pPr>
      <w:r>
        <w:rPr>
          <w:rFonts w:ascii="Georgia" w:hAnsi="Georgia"/>
          <w:sz w:val="19"/>
        </w:rPr>
        <w:t xml:space="preserve">12. </w:t>
      </w:r>
      <w:r>
        <w:rPr>
          <w:sz w:val="19"/>
        </w:rPr>
        <w:t xml:space="preserve">Bustos, A., Pertusa, A., Salinas, J.-M., &amp; de la Iglesia-Vayá, M. (2020). PadChest: A large chest X-ray image dataset with multi-label annotated reports.</w:t>
      </w:r>
      <w:r>
        <w:rPr>
          <w:sz w:val="19"/>
        </w:rPr>
        <w:t xml:space="preserve"> </w:t>
      </w:r>
      <w:r>
        <w:rPr>
          <w:i/>
          <w:iCs/>
          <w:sz w:val="19"/>
        </w:rPr>
        <w:t xml:space="preserve">Medical Image Analysis, 66</w:t>
      </w:r>
      <w:r>
        <w:rPr>
          <w:sz w:val="19"/>
        </w:rPr>
        <w:t xml:space="preserve">, Article 101797. https://doi.org/10.1016/j.media.2020.101797</w:t>
      </w:r>
    </w:p>
    <w:p>
      <w:pPr>
        <w:pStyle w:val="ReferenceEntry"/>
        <w:spacing w:after="100"/>
        <w:ind w:left="475" w:hanging="475"/>
        <w:jc w:val="left"/>
        <w:keepNext w:val="0"/>
        <w:keepLines w:val="0"/>
        <w:widowControl w:val="1"/>
      </w:pPr>
      <w:r>
        <w:rPr>
          <w:rFonts w:ascii="Georgia" w:hAnsi="Georgia"/>
          <w:sz w:val="19"/>
        </w:rPr>
        <w:t xml:space="preserve">13. </w:t>
      </w:r>
      <w:r>
        <w:rPr>
          <w:sz w:val="19"/>
          <w:highlight w:val="yellow"/>
        </w:rPr>
        <w:t xml:space="preserve">Cohen, J. P., Hashir, M., Brooks, R., &amp; Bertrand, H. (2020). On the limits of cross-domain generalization in automated X-ray prediction. In</w:t>
      </w:r>
      <w:r>
        <w:rPr>
          <w:sz w:val="19"/>
        </w:rPr>
        <w:t xml:space="preserve"> </w:t>
      </w:r>
      <w:r>
        <w:rPr>
          <w:i/>
          <w:iCs/>
          <w:sz w:val="19"/>
          <w:highlight w:val="yellow"/>
        </w:rPr>
        <w:t xml:space="preserve">Proceedings of the Third Conference on Medical Imaging with Deep Learning (MIDL 2020)</w:t>
      </w:r>
      <w:r>
        <w:rPr>
          <w:sz w:val="19"/>
        </w:rPr>
        <w:t xml:space="preserve"> </w:t>
      </w:r>
      <w:r>
        <w:rPr>
          <w:sz w:val="19"/>
          <w:highlight w:val="yellow"/>
        </w:rPr>
        <w:t xml:space="preserve">(Proceedings of Machine Learning Research, Vol. 121, pp. 136-155). PMLR. https://proceedings.mlr.press/v121/cohen20a.html</w:t>
      </w:r>
    </w:p>
    <w:p>
      <w:pPr>
        <w:pStyle w:val="ReferenceEntry"/>
        <w:spacing w:after="100"/>
        <w:ind w:left="475" w:hanging="475"/>
        <w:jc w:val="left"/>
        <w:keepNext w:val="0"/>
        <w:keepLines w:val="0"/>
        <w:widowControl w:val="1"/>
      </w:pPr>
      <w:r>
        <w:rPr>
          <w:rFonts w:ascii="Georgia" w:hAnsi="Georgia"/>
          <w:sz w:val="19"/>
        </w:rPr>
        <w:t xml:space="preserve">14. </w:t>
      </w:r>
      <w:r>
        <w:rPr>
          <w:sz w:val="19"/>
          <w:highlight w:val="yellow"/>
        </w:rPr>
        <w:t xml:space="preserve">Zech, J. R., Badgeley, M. A., Liu, M., Costa, A. B., Titano, J. J., &amp; Oermann, E. K. (2018). Variable generalization performance of a deep learning model to detect pneumonia in chest radiographs: A cross-sectional study.</w:t>
      </w:r>
      <w:r>
        <w:rPr>
          <w:sz w:val="19"/>
        </w:rPr>
        <w:t xml:space="preserve"> </w:t>
      </w:r>
      <w:r>
        <w:rPr>
          <w:i/>
          <w:iCs/>
          <w:sz w:val="19"/>
          <w:highlight w:val="yellow"/>
        </w:rPr>
        <w:t xml:space="preserve">PLOS Medicine, 15</w:t>
      </w:r>
      <w:r>
        <w:rPr>
          <w:sz w:val="19"/>
          <w:highlight w:val="yellow"/>
        </w:rPr>
        <w:t xml:space="preserve">(11), Article e1002683. https://doi.org/10.1371/journal.pmed.1002683</w:t>
      </w:r>
    </w:p>
    <w:p>
      <w:pPr>
        <w:pStyle w:val="ReferenceEntry"/>
        <w:spacing w:after="100"/>
        <w:ind w:left="475" w:hanging="475"/>
        <w:jc w:val="left"/>
        <w:keepNext w:val="0"/>
        <w:keepLines w:val="0"/>
        <w:widowControl w:val="1"/>
      </w:pPr>
      <w:r>
        <w:rPr>
          <w:rFonts w:ascii="Georgia" w:hAnsi="Georgia"/>
          <w:sz w:val="19"/>
        </w:rPr>
        <w:t xml:space="preserve">15. </w:t>
      </w:r>
      <w:r>
        <w:rPr>
          <w:sz w:val="19"/>
        </w:rPr>
        <w:t xml:space="preserve">Ovadia, Y., Fertig, E., Ren, J., Nado, Z., Sculley, D., Nowozin, S., Dillon, J. V., Lakshminarayanan, B., &amp; Snoek, J. (2019). Can you trust your model's uncertainty? Evaluating predictive uncertainty under dataset shift. In</w:t>
      </w:r>
      <w:r>
        <w:rPr>
          <w:sz w:val="19"/>
        </w:rPr>
        <w:t xml:space="preserve"> </w:t>
      </w:r>
      <w:r>
        <w:rPr>
          <w:i/>
          <w:iCs/>
          <w:color w:val="C00030"/>
          <w:sz w:val="19"/>
        </w:rPr>
        <w:t xml:space="preserve">Advances in Neural Information Processing Systems</w:t>
      </w:r>
      <w:r>
        <w:rPr>
          <w:sz w:val="19"/>
        </w:rPr>
        <w:t xml:space="preserve"> </w:t>
      </w:r>
      <w:r>
        <w:rPr>
          <w:sz w:val="19"/>
          <w:highlight w:val="yellow"/>
        </w:rPr>
        <w:t xml:space="preserve">(Vol. 32, pp. 13991-14002). Curran Associates.</w:t>
      </w:r>
    </w:p>
    <w:p>
      <w:pPr>
        <w:pStyle w:val="ReferenceEntry"/>
        <w:spacing w:after="100"/>
        <w:ind w:left="475" w:hanging="475"/>
        <w:jc w:val="left"/>
        <w:keepNext w:val="0"/>
        <w:keepLines w:val="0"/>
        <w:widowControl w:val="1"/>
      </w:pPr>
      <w:r>
        <w:rPr>
          <w:rFonts w:ascii="Georgia" w:hAnsi="Georgia"/>
          <w:sz w:val="19"/>
        </w:rPr>
        <w:t xml:space="preserve">16. </w:t>
      </w:r>
      <w:r>
        <w:rPr>
          <w:sz w:val="19"/>
        </w:rPr>
        <w:t xml:space="preserve">Apartsin, A., Cooper, L. N., &amp; Intrator, N. (2012). Semi-coherent time of arrival estimation using regression.</w:t>
      </w:r>
      <w:r>
        <w:rPr>
          <w:sz w:val="19"/>
        </w:rPr>
        <w:t xml:space="preserve"> </w:t>
      </w:r>
      <w:r>
        <w:rPr>
          <w:i/>
          <w:iCs/>
          <w:sz w:val="19"/>
        </w:rPr>
        <w:t xml:space="preserve">The Journal of the Acoustical Society of America, 132</w:t>
      </w:r>
      <w:r>
        <w:rPr>
          <w:sz w:val="19"/>
        </w:rPr>
        <w:t xml:space="preserve">(2), 832-837. https://doi.org/10.1121/1.4730885</w:t>
      </w:r>
    </w:p>
    <w:p>
      <w:pPr>
        <w:pStyle w:val="ReferenceEntry"/>
        <w:spacing w:after="100"/>
        <w:ind w:left="475" w:hanging="475"/>
        <w:jc w:val="left"/>
        <w:keepNext w:val="0"/>
        <w:keepLines w:val="0"/>
        <w:widowControl w:val="1"/>
      </w:pPr>
      <w:r>
        <w:rPr>
          <w:rFonts w:ascii="Georgia" w:hAnsi="Georgia"/>
          <w:sz w:val="19"/>
        </w:rPr>
        <w:t xml:space="preserve">17. </w:t>
      </w:r>
      <w:r>
        <w:rPr>
          <w:sz w:val="19"/>
        </w:rPr>
        <w:t xml:space="preserve">Goodfellow, I. J., Shlens, J., &amp; Szegedy, C. (2015). Explaining and harnessing adversarial examples. In</w:t>
      </w:r>
      <w:r>
        <w:rPr>
          <w:sz w:val="19"/>
        </w:rPr>
        <w:t xml:space="preserve"> </w:t>
      </w:r>
      <w:r>
        <w:rPr>
          <w:i/>
          <w:iCs/>
          <w:sz w:val="19"/>
        </w:rPr>
        <w:t xml:space="preserve">3rd International Conference on Learning Representations (ICLR 2015)</w:t>
      </w:r>
      <w:r>
        <w:rPr>
          <w:sz w:val="19"/>
        </w:rPr>
        <w:t xml:space="preserve">. https://arxiv.org/abs/1412.6572</w:t>
      </w:r>
    </w:p>
    <w:p>
      <w:pPr>
        <w:pStyle w:val="ReferenceEntry"/>
        <w:spacing w:after="100"/>
        <w:ind w:left="475" w:hanging="475"/>
        <w:jc w:val="left"/>
        <w:keepNext w:val="0"/>
        <w:keepLines w:val="0"/>
        <w:widowControl w:val="1"/>
      </w:pPr>
      <w:r>
        <w:rPr>
          <w:rFonts w:ascii="Georgia" w:hAnsi="Georgia"/>
          <w:sz w:val="19"/>
        </w:rPr>
        <w:t xml:space="preserve">18. </w:t>
      </w:r>
      <w:r>
        <w:rPr>
          <w:sz w:val="19"/>
        </w:rPr>
        <w:t xml:space="preserve">Lee, J., &amp; AlRegib, G. (2020). Gradients as a measure of uncertainty in neural networks. In</w:t>
      </w:r>
      <w:r>
        <w:rPr>
          <w:sz w:val="19"/>
        </w:rPr>
        <w:t xml:space="preserve"> </w:t>
      </w:r>
      <w:r>
        <w:rPr>
          <w:i/>
          <w:iCs/>
          <w:sz w:val="19"/>
        </w:rPr>
        <w:t xml:space="preserve">2020 IEEE International Conference on Image Processing (ICIP)</w:t>
      </w:r>
      <w:r>
        <w:rPr>
          <w:sz w:val="19"/>
        </w:rPr>
        <w:t xml:space="preserve"> </w:t>
      </w:r>
      <w:r>
        <w:rPr>
          <w:sz w:val="19"/>
        </w:rPr>
        <w:t xml:space="preserve">(pp. 2416-2420). IEEE. https://doi.org/10.1109/ICIP40778.2020.9190679</w:t>
      </w:r>
    </w:p>
    <w:p>
      <w:pPr>
        <w:pStyle w:val="ReferenceEntry"/>
        <w:spacing w:after="100"/>
        <w:ind w:left="475" w:hanging="475"/>
        <w:jc w:val="left"/>
        <w:keepNext w:val="0"/>
        <w:keepLines w:val="0"/>
        <w:widowControl w:val="1"/>
      </w:pPr>
      <w:r>
        <w:rPr>
          <w:rFonts w:ascii="Georgia" w:hAnsi="Georgia"/>
          <w:sz w:val="19"/>
        </w:rPr>
        <w:t xml:space="preserve">19. </w:t>
      </w:r>
      <w:r>
        <w:rPr>
          <w:sz w:val="19"/>
        </w:rPr>
        <w:t xml:space="preserve">Rokach, L., Aperstein, Y., &amp; Akselrod-Ballin, A. (2025). Deep active learning framework for chest-abdominal CT scans segmentation.</w:t>
      </w:r>
      <w:r>
        <w:rPr>
          <w:sz w:val="19"/>
        </w:rPr>
        <w:t xml:space="preserve"> </w:t>
      </w:r>
      <w:r>
        <w:rPr>
          <w:i/>
          <w:iCs/>
          <w:sz w:val="19"/>
        </w:rPr>
        <w:t xml:space="preserve">Expert Systems with Applications, 263</w:t>
      </w:r>
      <w:r>
        <w:rPr>
          <w:sz w:val="19"/>
        </w:rPr>
        <w:t xml:space="preserve">, Article 125522. https://doi.org/10.1016/j.eswa.2024.125522</w:t>
      </w:r>
    </w:p>
    <w:p>
      <w:pPr>
        <w:pStyle w:val="ReferenceEntry"/>
        <w:spacing w:after="100"/>
        <w:ind w:left="475" w:hanging="475"/>
        <w:jc w:val="left"/>
        <w:keepNext w:val="0"/>
        <w:keepLines w:val="0"/>
        <w:widowControl w:val="1"/>
      </w:pPr>
      <w:r>
        <w:rPr>
          <w:rFonts w:ascii="Georgia" w:hAnsi="Georgia"/>
          <w:sz w:val="19"/>
        </w:rPr>
        <w:t xml:space="preserve">20. </w:t>
      </w:r>
      <w:r>
        <w:rPr>
          <w:sz w:val="19"/>
        </w:rPr>
        <w:t xml:space="preserve">Levy, D., Assayag, B., Gaspar, L., Shimshoni, I., &amp; Specktor-Fadida, B. (2026). From cold start to active learning: Embedding-based scan selection for medical image segmentation.</w:t>
      </w:r>
      <w:r>
        <w:rPr>
          <w:sz w:val="19"/>
        </w:rPr>
        <w:t xml:space="preserve"> </w:t>
      </w:r>
      <w:r>
        <w:rPr>
          <w:i/>
          <w:iCs/>
          <w:sz w:val="19"/>
        </w:rPr>
        <w:t xml:space="preserve">arXiv</w:t>
      </w:r>
      <w:r>
        <w:rPr>
          <w:sz w:val="19"/>
        </w:rPr>
        <w:t xml:space="preserve">. https://arxiv.org/abs/2601.18532</w:t>
      </w:r>
    </w:p>
    <w:p>
      <w:pPr>
        <w:pStyle w:val="ReferenceEntry"/>
        <w:spacing w:after="100"/>
        <w:ind w:left="475" w:hanging="475"/>
        <w:jc w:val="left"/>
        <w:keepNext w:val="0"/>
        <w:keepLines w:val="0"/>
        <w:widowControl w:val="1"/>
      </w:pPr>
      <w:r>
        <w:rPr>
          <w:rFonts w:ascii="Georgia" w:hAnsi="Georgia"/>
          <w:sz w:val="19"/>
        </w:rPr>
        <w:t xml:space="preserve">21. </w:t>
      </w:r>
      <w:r>
        <w:rPr>
          <w:sz w:val="19"/>
        </w:rPr>
        <w:t xml:space="preserve">Chow, C. K. (1970). On optimum recognition error and reject tradeoff.</w:t>
      </w:r>
      <w:r>
        <w:rPr>
          <w:sz w:val="19"/>
        </w:rPr>
        <w:t xml:space="preserve"> </w:t>
      </w:r>
      <w:r>
        <w:rPr>
          <w:i/>
          <w:iCs/>
          <w:sz w:val="19"/>
        </w:rPr>
        <w:t xml:space="preserve">IEEE Transactions on Information Theory, 16</w:t>
      </w:r>
      <w:r>
        <w:rPr>
          <w:sz w:val="19"/>
        </w:rPr>
        <w:t xml:space="preserve">(1), 41-46. https://doi.org/10.1109/TIT.1970.1054406</w:t>
      </w:r>
    </w:p>
    <w:p>
      <w:pPr>
        <w:pStyle w:val="ReferenceEntry"/>
        <w:spacing w:after="100"/>
        <w:ind w:left="475" w:hanging="475"/>
        <w:jc w:val="left"/>
        <w:keepNext w:val="0"/>
        <w:keepLines w:val="0"/>
        <w:widowControl w:val="1"/>
      </w:pPr>
      <w:r>
        <w:rPr>
          <w:rFonts w:ascii="Georgia" w:hAnsi="Georgia"/>
          <w:sz w:val="19"/>
        </w:rPr>
        <w:t xml:space="preserve">22. </w:t>
      </w:r>
      <w:r>
        <w:rPr>
          <w:sz w:val="19"/>
        </w:rPr>
        <w:t xml:space="preserve">Cortes, C., DeSalvo, G., &amp; Mohri, M. (2016). Learning with rejection. In</w:t>
      </w:r>
      <w:r>
        <w:rPr>
          <w:sz w:val="19"/>
        </w:rPr>
        <w:t xml:space="preserve"> </w:t>
      </w:r>
      <w:r>
        <w:rPr>
          <w:i/>
          <w:iCs/>
          <w:sz w:val="19"/>
        </w:rPr>
        <w:t xml:space="preserve">Algorithmic Learning Theory (ALT 2016)</w:t>
      </w:r>
      <w:r>
        <w:rPr>
          <w:sz w:val="19"/>
        </w:rPr>
        <w:t xml:space="preserve"> </w:t>
      </w:r>
      <w:r>
        <w:rPr>
          <w:sz w:val="19"/>
        </w:rPr>
        <w:t xml:space="preserve">(Lecture Notes in Computer Science, Vol. 9925, pp. 67-82). Springer. https://doi.org/10.1007/978-3-319-46379-7_5</w:t>
      </w:r>
    </w:p>
    <w:p>
      <w:pPr>
        <w:pStyle w:val="ReferenceEntry"/>
        <w:spacing w:after="100"/>
        <w:ind w:left="475" w:hanging="475"/>
        <w:jc w:val="left"/>
        <w:keepNext w:val="0"/>
        <w:keepLines w:val="0"/>
        <w:widowControl w:val="1"/>
      </w:pPr>
      <w:r>
        <w:rPr>
          <w:rFonts w:ascii="Georgia" w:hAnsi="Georgia"/>
          <w:sz w:val="19"/>
        </w:rPr>
        <w:t xml:space="preserve">23. </w:t>
      </w:r>
      <w:r>
        <w:rPr>
          <w:sz w:val="19"/>
        </w:rPr>
        <w:t xml:space="preserve">Geifman, Y., &amp; El-Yaniv, R. (2017). Selective classification for deep neural networks. In</w:t>
      </w:r>
      <w:r>
        <w:rPr>
          <w:sz w:val="19"/>
        </w:rPr>
        <w:t xml:space="preserve"> </w:t>
      </w:r>
      <w:r>
        <w:rPr>
          <w:i/>
          <w:iCs/>
          <w:sz w:val="19"/>
        </w:rPr>
        <w:t xml:space="preserve">Advances in Neural Information Processing Systems 30 (NeurIPS 2017)</w:t>
      </w:r>
      <w:r>
        <w:rPr>
          <w:sz w:val="19"/>
        </w:rPr>
        <w:t xml:space="preserve"> </w:t>
      </w:r>
      <w:r>
        <w:rPr>
          <w:sz w:val="19"/>
        </w:rPr>
        <w:t xml:space="preserve">(pp. 4878-4887). Curran Associates. https://proceedings.neurips.cc/paper/2017/hash/4a8423d5e91fda00bb7e46540e2b0cf1-Abstract.html</w:t>
      </w:r>
    </w:p>
    <w:p>
      <w:pPr>
        <w:pStyle w:val="ReferenceEntry"/>
        <w:spacing w:after="100"/>
        <w:ind w:left="475" w:hanging="475"/>
        <w:jc w:val="left"/>
        <w:keepNext w:val="0"/>
        <w:keepLines w:val="0"/>
        <w:widowControl w:val="1"/>
      </w:pPr>
      <w:r>
        <w:rPr>
          <w:rFonts w:ascii="Georgia" w:hAnsi="Georgia"/>
          <w:sz w:val="19"/>
        </w:rPr>
        <w:t xml:space="preserve">24. </w:t>
      </w:r>
      <w:r>
        <w:rPr>
          <w:sz w:val="19"/>
        </w:rPr>
        <w:t xml:space="preserve">Lakshminarayanan, B., Pritzel, A., &amp; Blundell, C. (2017). Simple and scalable predictive uncertainty estimation using deep ensembles. In</w:t>
      </w:r>
      <w:r>
        <w:rPr>
          <w:sz w:val="19"/>
        </w:rPr>
        <w:t xml:space="preserve"> </w:t>
      </w:r>
      <w:r>
        <w:rPr>
          <w:i/>
          <w:iCs/>
          <w:sz w:val="19"/>
        </w:rPr>
        <w:t xml:space="preserve">Advances in Neural Information Processing Systems 30 (NeurIPS 2017)</w:t>
      </w:r>
      <w:r>
        <w:rPr>
          <w:sz w:val="19"/>
        </w:rPr>
        <w:t xml:space="preserve"> </w:t>
      </w:r>
      <w:r>
        <w:rPr>
          <w:sz w:val="19"/>
        </w:rPr>
        <w:t xml:space="preserve">(pp. 6402-6413). Curran Associates. https://proceedings.neurips.cc/paper/2017/hash/9ef2ed4b7fd2c810847ffa5fa85bce38-Abstract.html</w:t>
      </w:r>
    </w:p>
    <w:p>
      <w:pPr>
        <w:pStyle w:val="ReferenceEntry"/>
        <w:spacing w:after="100"/>
        <w:ind w:left="475" w:hanging="475"/>
        <w:jc w:val="left"/>
        <w:keepNext w:val="0"/>
        <w:keepLines w:val="0"/>
        <w:widowControl w:val="1"/>
      </w:pPr>
      <w:r>
        <w:rPr>
          <w:rFonts w:ascii="Georgia" w:hAnsi="Georgia"/>
          <w:sz w:val="19"/>
        </w:rPr>
        <w:t xml:space="preserve">25. </w:t>
      </w:r>
      <w:r>
        <w:rPr>
          <w:sz w:val="19"/>
        </w:rPr>
        <w:t xml:space="preserve">Fisch, A., Jaakkola, T. S., &amp; Barzilay, R. (2022). Calibrated selective classification.</w:t>
      </w:r>
      <w:r>
        <w:rPr>
          <w:sz w:val="19"/>
        </w:rPr>
        <w:t xml:space="preserve"> </w:t>
      </w:r>
      <w:r>
        <w:rPr>
          <w:i/>
          <w:iCs/>
          <w:sz w:val="19"/>
        </w:rPr>
        <w:t xml:space="preserve">Transactions on Machine Learning Research</w:t>
      </w:r>
      <w:r>
        <w:rPr>
          <w:sz w:val="19"/>
        </w:rPr>
        <w:t xml:space="preserve">. https://openreview.net/forum?id=zFhNBs8GaV</w:t>
      </w:r>
    </w:p>
    <w:p>
      <w:pPr>
        <w:pStyle w:val="ReferenceEntry"/>
        <w:spacing w:after="100"/>
        <w:ind w:left="475" w:hanging="475"/>
        <w:jc w:val="left"/>
        <w:keepNext w:val="0"/>
        <w:keepLines w:val="0"/>
        <w:widowControl w:val="1"/>
      </w:pPr>
      <w:r>
        <w:rPr>
          <w:rFonts w:ascii="Georgia" w:hAnsi="Georgia"/>
          <w:sz w:val="19"/>
        </w:rPr>
        <w:t xml:space="preserve">26. </w:t>
      </w:r>
      <w:r>
        <w:rPr>
          <w:sz w:val="19"/>
        </w:rPr>
        <w:t xml:space="preserve">Cattelan, L. F. P., &amp; Silva, D. (2024). How to fix a broken confidence estimator: Evaluating post-hoc methods for selective classification with deep neural networks. In</w:t>
      </w:r>
      <w:r>
        <w:rPr>
          <w:sz w:val="19"/>
        </w:rPr>
        <w:t xml:space="preserve"> </w:t>
      </w:r>
      <w:r>
        <w:rPr>
          <w:i/>
          <w:iCs/>
          <w:sz w:val="19"/>
        </w:rPr>
        <w:t xml:space="preserve">Proceedings of the 40th Conference on Uncertainty in Artificial Intelligence (UAI 2024)</w:t>
      </w:r>
      <w:r>
        <w:rPr>
          <w:sz w:val="19"/>
        </w:rPr>
        <w:t xml:space="preserve"> </w:t>
      </w:r>
      <w:r>
        <w:rPr>
          <w:sz w:val="19"/>
        </w:rPr>
        <w:t xml:space="preserve">(Proceedings of Machine Learning Research, Vol. 244, pp. 547-584). PMLR. https://proceedings.mlr.press/v244/cattelan24a.html</w:t>
      </w:r>
    </w:p>
    <w:p>
      <w:pPr>
        <w:pStyle w:val="ReferenceEntry"/>
        <w:spacing w:after="100"/>
        <w:ind w:left="475" w:hanging="475"/>
        <w:jc w:val="left"/>
        <w:keepNext w:val="0"/>
        <w:keepLines w:val="0"/>
        <w:widowControl w:val="1"/>
      </w:pPr>
      <w:r>
        <w:rPr>
          <w:rFonts w:ascii="Georgia" w:hAnsi="Georgia"/>
          <w:sz w:val="19"/>
        </w:rPr>
        <w:t xml:space="preserve">27. </w:t>
      </w:r>
      <w:r>
        <w:rPr>
          <w:sz w:val="19"/>
        </w:rPr>
        <w:t xml:space="preserve">Rabanser, S., Thudi, A., Hamidieh, K., Dziedzic, A., Bahceci, I., Bin Sediq, A., Sokun, H., &amp; Papernot, N. (2022). Selective prediction via training dynamics.</w:t>
      </w:r>
      <w:r>
        <w:rPr>
          <w:sz w:val="19"/>
        </w:rPr>
        <w:t xml:space="preserve"> </w:t>
      </w:r>
      <w:r>
        <w:rPr>
          <w:i/>
          <w:iCs/>
          <w:sz w:val="19"/>
        </w:rPr>
        <w:t xml:space="preserve">arXiv</w:t>
      </w:r>
      <w:r>
        <w:rPr>
          <w:sz w:val="19"/>
        </w:rPr>
        <w:t xml:space="preserve">. https://arxiv.org/abs/2205.13532</w:t>
      </w:r>
    </w:p>
    <w:p>
      <w:pPr>
        <w:pStyle w:val="ReferenceEntry"/>
        <w:spacing w:after="100"/>
        <w:ind w:left="475" w:hanging="475"/>
        <w:jc w:val="left"/>
        <w:keepNext w:val="0"/>
        <w:keepLines w:val="0"/>
        <w:widowControl w:val="1"/>
      </w:pPr>
      <w:r>
        <w:rPr>
          <w:rFonts w:ascii="Georgia" w:hAnsi="Georgia"/>
          <w:sz w:val="19"/>
        </w:rPr>
        <w:t xml:space="preserve">28. </w:t>
      </w:r>
      <w:r>
        <w:rPr>
          <w:color w:val="C00030"/>
          <w:sz w:val="19"/>
        </w:rPr>
        <w:t xml:space="preserve">Gal, Y., &amp; Ghahramani, Z. (2016). Dropout as a Bayesian approximation: Representing model uncertainty in deep learning. In</w:t>
      </w:r>
      <w:r>
        <w:rPr>
          <w:sz w:val="19"/>
        </w:rPr>
        <w:t xml:space="preserve"> </w:t>
      </w:r>
      <w:r>
        <w:rPr>
          <w:i/>
          <w:iCs/>
          <w:color w:val="C00030"/>
          <w:sz w:val="19"/>
        </w:rPr>
        <w:t xml:space="preserve">Proceedings of the 33rd International Conference on Machine Learning (ICML 2016)</w:t>
      </w:r>
      <w:r>
        <w:rPr>
          <w:sz w:val="19"/>
        </w:rPr>
        <w:t xml:space="preserve"> </w:t>
      </w:r>
      <w:r>
        <w:rPr>
          <w:color w:val="C00030"/>
          <w:sz w:val="19"/>
        </w:rPr>
        <w:t xml:space="preserve">(Proceedings of Machine Learning Research, Vol. 48, pp. 1050-1059). PMLR. https://proceedings.mlr.press/v48/gal16.html</w:t>
      </w:r>
    </w:p>
    <w:p>
      <w:pPr>
        <w:pStyle w:val="ReferenceEntry"/>
        <w:spacing w:after="100"/>
        <w:ind w:left="475" w:hanging="475"/>
        <w:jc w:val="left"/>
        <w:keepNext w:val="0"/>
        <w:keepLines w:val="0"/>
        <w:widowControl w:val="1"/>
      </w:pPr>
      <w:r>
        <w:rPr>
          <w:rFonts w:ascii="Georgia" w:hAnsi="Georgia"/>
          <w:sz w:val="19"/>
        </w:rPr>
        <w:t xml:space="preserve">29. </w:t>
      </w:r>
      <w:r>
        <w:rPr>
          <w:color w:val="C00030"/>
          <w:sz w:val="19"/>
        </w:rPr>
        <w:t xml:space="preserve">Blundell, C., Cornebise, J., Kavukcuoglu, K., &amp; Wierstra, D. (2015). Weight uncertainty in neural networks. In</w:t>
      </w:r>
      <w:r>
        <w:rPr>
          <w:sz w:val="19"/>
        </w:rPr>
        <w:t xml:space="preserve"> </w:t>
      </w:r>
      <w:r>
        <w:rPr>
          <w:i/>
          <w:iCs/>
          <w:color w:val="C00030"/>
          <w:sz w:val="19"/>
        </w:rPr>
        <w:t xml:space="preserve">Proceedings of the 32nd International Conference on Machine Learning (ICML 2015)</w:t>
      </w:r>
      <w:r>
        <w:rPr>
          <w:sz w:val="19"/>
        </w:rPr>
        <w:t xml:space="preserve"> </w:t>
      </w:r>
      <w:r>
        <w:rPr>
          <w:color w:val="C00030"/>
          <w:sz w:val="19"/>
        </w:rPr>
        <w:t xml:space="preserve">(Proceedings of Machine Learning Research, Vol. 37, pp. 1613-1622). PMLR. https://proceedings.mlr.press/v37/blundell15.html</w:t>
      </w:r>
    </w:p>
    <w:p>
      <w:pPr>
        <w:pStyle w:val="ReferenceEntry"/>
        <w:spacing w:after="100"/>
        <w:ind w:left="475" w:hanging="475"/>
        <w:jc w:val="left"/>
        <w:keepNext w:val="0"/>
        <w:keepLines w:val="0"/>
        <w:widowControl w:val="1"/>
      </w:pPr>
      <w:r>
        <w:rPr>
          <w:rFonts w:ascii="Georgia" w:hAnsi="Georgia"/>
          <w:sz w:val="19"/>
        </w:rPr>
        <w:t xml:space="preserve">30. </w:t>
      </w:r>
      <w:r>
        <w:rPr>
          <w:color w:val="C00030"/>
          <w:sz w:val="19"/>
        </w:rPr>
        <w:t xml:space="preserve">Guo, C., Pleiss, G., Sun, Y., &amp; Weinberger, K. Q. (2017). On calibration of modern neural networks. In</w:t>
      </w:r>
      <w:r>
        <w:rPr>
          <w:sz w:val="19"/>
        </w:rPr>
        <w:t xml:space="preserve"> </w:t>
      </w:r>
      <w:r>
        <w:rPr>
          <w:i/>
          <w:iCs/>
          <w:color w:val="C00030"/>
          <w:sz w:val="19"/>
        </w:rPr>
        <w:t xml:space="preserve">Proceedings of the 34th International Conference on Machine Learning (ICML 2017)</w:t>
      </w:r>
      <w:r>
        <w:rPr>
          <w:sz w:val="19"/>
        </w:rPr>
        <w:t xml:space="preserve"> </w:t>
      </w:r>
      <w:r>
        <w:rPr>
          <w:color w:val="C00030"/>
          <w:sz w:val="19"/>
        </w:rPr>
        <w:t xml:space="preserve">(Proceedings of Machine Learning Research, Vol. 70, pp. 1321-1330). PMLR. https://proceedings.mlr.press/v70/guo17a.html</w:t>
      </w:r>
    </w:p>
    <w:p>
      <w:pPr>
        <w:pStyle w:val="ReferenceEntry"/>
        <w:spacing w:after="100"/>
        <w:ind w:left="475" w:hanging="475"/>
        <w:jc w:val="left"/>
        <w:keepNext w:val="0"/>
        <w:keepLines w:val="0"/>
        <w:widowControl w:val="1"/>
      </w:pPr>
      <w:r>
        <w:rPr>
          <w:rFonts w:ascii="Georgia" w:hAnsi="Georgia"/>
          <w:sz w:val="19"/>
        </w:rPr>
        <w:t xml:space="preserve">31. </w:t>
      </w:r>
      <w:r>
        <w:rPr>
          <w:color w:val="C00030"/>
          <w:sz w:val="19"/>
        </w:rPr>
        <w:t xml:space="preserve">Sensoy, M., Kaplan, L., &amp; Kandemir, M. (2018). Evidential deep learning to quantify classification uncertainty. In</w:t>
      </w:r>
      <w:r>
        <w:rPr>
          <w:sz w:val="19"/>
        </w:rPr>
        <w:t xml:space="preserve"> </w:t>
      </w:r>
      <w:r>
        <w:rPr>
          <w:i/>
          <w:iCs/>
          <w:color w:val="C00030"/>
          <w:sz w:val="19"/>
        </w:rPr>
        <w:t xml:space="preserve">Advances in Neural Information Processing Systems 31 (NeurIPS 2018)</w:t>
      </w:r>
      <w:r>
        <w:rPr>
          <w:sz w:val="19"/>
        </w:rPr>
        <w:t xml:space="preserve"> </w:t>
      </w:r>
      <w:r>
        <w:rPr>
          <w:color w:val="C00030"/>
          <w:sz w:val="19"/>
        </w:rPr>
        <w:t xml:space="preserve">(pp. 3179-3189). Curran Associates. https://arxiv.org/abs/1806.01768</w:t>
      </w:r>
    </w:p>
    <w:p>
      <w:pPr>
        <w:pStyle w:val="ReferenceEntry"/>
        <w:spacing w:after="100"/>
        <w:ind w:left="475" w:hanging="475"/>
        <w:jc w:val="left"/>
        <w:keepNext w:val="0"/>
        <w:keepLines w:val="0"/>
        <w:widowControl w:val="1"/>
      </w:pPr>
      <w:r>
        <w:rPr>
          <w:rFonts w:ascii="Georgia" w:hAnsi="Georgia"/>
          <w:sz w:val="19"/>
        </w:rPr>
        <w:t xml:space="preserve">32. </w:t>
      </w:r>
      <w:r>
        <w:rPr>
          <w:color w:val="C00030"/>
          <w:sz w:val="19"/>
        </w:rPr>
        <w:t xml:space="preserve">Angelopoulos, A. N., &amp; Bates, S. (2023). Conformal prediction: A gentle introduction.</w:t>
      </w:r>
      <w:r>
        <w:rPr>
          <w:sz w:val="19"/>
        </w:rPr>
        <w:t xml:space="preserve"> </w:t>
      </w:r>
      <w:r>
        <w:rPr>
          <w:i/>
          <w:iCs/>
          <w:color w:val="C00030"/>
          <w:sz w:val="19"/>
        </w:rPr>
        <w:t xml:space="preserve">Foundations and Trends in Machine Learning, 16</w:t>
      </w:r>
      <w:r>
        <w:rPr>
          <w:color w:val="C00030"/>
          <w:sz w:val="19"/>
        </w:rPr>
        <w:t xml:space="preserve">(4), 494-591. https://doi.org/10.1561/2200000101</w:t>
      </w:r>
    </w:p>
    <w:p>
      <w:pPr>
        <w:pStyle w:val="ReferenceEntry"/>
        <w:spacing w:after="100"/>
        <w:ind w:left="475" w:hanging="475"/>
        <w:jc w:val="left"/>
        <w:keepNext w:val="0"/>
        <w:keepLines w:val="0"/>
        <w:widowControl w:val="1"/>
      </w:pPr>
      <w:r>
        <w:rPr>
          <w:rFonts w:ascii="Georgia" w:hAnsi="Georgia"/>
          <w:sz w:val="19"/>
        </w:rPr>
        <w:t xml:space="preserve">33. </w:t>
      </w:r>
      <w:r>
        <w:rPr>
          <w:sz w:val="19"/>
        </w:rPr>
        <w:t xml:space="preserve">Kompa, B., Snoek, J., &amp; Beam, A. L. (2021). Second opinion needed: Communicating uncertainty in medical machine learning.</w:t>
      </w:r>
      <w:r>
        <w:rPr>
          <w:sz w:val="19"/>
        </w:rPr>
        <w:t xml:space="preserve"> </w:t>
      </w:r>
      <w:r>
        <w:rPr>
          <w:i/>
          <w:iCs/>
          <w:sz w:val="19"/>
        </w:rPr>
        <w:t xml:space="preserve">npj Digital Medicine, 4</w:t>
      </w:r>
      <w:r>
        <w:rPr>
          <w:sz w:val="19"/>
        </w:rPr>
        <w:t xml:space="preserve">(1), Article 4. https://doi.org/10.1038/s41746-020-00367-3</w:t>
      </w:r>
    </w:p>
    <w:p>
      <w:pPr>
        <w:pStyle w:val="ReferenceEntry"/>
        <w:spacing w:after="100"/>
        <w:ind w:left="475" w:hanging="475"/>
        <w:jc w:val="left"/>
        <w:keepNext w:val="0"/>
        <w:keepLines w:val="0"/>
        <w:widowControl w:val="1"/>
      </w:pPr>
      <w:r>
        <w:rPr>
          <w:rFonts w:ascii="Georgia" w:hAnsi="Georgia"/>
          <w:sz w:val="19"/>
        </w:rPr>
        <w:t xml:space="preserve">34. </w:t>
      </w:r>
      <w:r>
        <w:rPr>
          <w:sz w:val="19"/>
        </w:rPr>
        <w:t xml:space="preserve">Faghani, S., Moassefi, M., Rouzrokh, P., Khosravi, B., Baffour, F. I., Ringler, M. D., &amp; Erickson, B. J. (2023). Quantifying uncertainty in deep learning of radiologic images.</w:t>
      </w:r>
      <w:r>
        <w:rPr>
          <w:sz w:val="19"/>
        </w:rPr>
        <w:t xml:space="preserve"> </w:t>
      </w:r>
      <w:r>
        <w:rPr>
          <w:i/>
          <w:iCs/>
          <w:sz w:val="19"/>
        </w:rPr>
        <w:t xml:space="preserve">Radiology, 308</w:t>
      </w:r>
      <w:r>
        <w:rPr>
          <w:sz w:val="19"/>
        </w:rPr>
        <w:t xml:space="preserve">(2), Article e222217. https://doi.org/10.1148/radiol.222217</w:t>
      </w:r>
    </w:p>
    <w:p>
      <w:pPr>
        <w:pStyle w:val="ReferenceEntry"/>
        <w:spacing w:after="100"/>
        <w:ind w:left="475" w:hanging="475"/>
        <w:jc w:val="left"/>
        <w:keepNext w:val="0"/>
        <w:keepLines w:val="0"/>
        <w:widowControl w:val="1"/>
      </w:pPr>
      <w:r>
        <w:rPr>
          <w:rFonts w:ascii="Georgia" w:hAnsi="Georgia"/>
          <w:sz w:val="19"/>
        </w:rPr>
        <w:t xml:space="preserve">35. </w:t>
      </w:r>
      <w:r>
        <w:rPr>
          <w:sz w:val="19"/>
        </w:rPr>
        <w:t xml:space="preserve">Whata, A., Dibeco, K., Madzima, K., &amp; Obagbuwa, I. (2024). Uncertainty quantification in multi-class image classification using chest X-ray images of COVID-19 and pneumonia.</w:t>
      </w:r>
      <w:r>
        <w:rPr>
          <w:sz w:val="19"/>
        </w:rPr>
        <w:t xml:space="preserve"> </w:t>
      </w:r>
      <w:r>
        <w:rPr>
          <w:i/>
          <w:iCs/>
          <w:sz w:val="19"/>
        </w:rPr>
        <w:t xml:space="preserve">Frontiers in Artificial Intelligence, 7</w:t>
      </w:r>
      <w:r>
        <w:rPr>
          <w:sz w:val="19"/>
        </w:rPr>
        <w:t xml:space="preserve">, Article 1410841. https://doi.org/10.3389/frai.2024.1410841</w:t>
      </w:r>
    </w:p>
    <w:p>
      <w:pPr>
        <w:pStyle w:val="ReferenceEntry"/>
        <w:spacing w:after="100"/>
        <w:ind w:left="475" w:hanging="475"/>
        <w:jc w:val="left"/>
        <w:keepNext w:val="0"/>
        <w:keepLines w:val="0"/>
        <w:widowControl w:val="1"/>
      </w:pPr>
      <w:r>
        <w:rPr>
          <w:rFonts w:ascii="Georgia" w:hAnsi="Georgia"/>
          <w:sz w:val="19"/>
        </w:rPr>
        <w:t xml:space="preserve">36. </w:t>
      </w:r>
      <w:r>
        <w:rPr>
          <w:sz w:val="19"/>
        </w:rPr>
        <w:t xml:space="preserve">Das, A., Gorade, V., Kumar, K., Chakraborty, S., Mahapatra, D., &amp; Roy, S. (2024). Confidence-guided semi-supervised learning for generalized lesion localization in X-ray images. In</w:t>
      </w:r>
      <w:r>
        <w:rPr>
          <w:sz w:val="19"/>
        </w:rPr>
        <w:t xml:space="preserve"> </w:t>
      </w:r>
      <w:r>
        <w:rPr>
          <w:i/>
          <w:iCs/>
          <w:sz w:val="19"/>
        </w:rPr>
        <w:t xml:space="preserve">Medical Image Computing and Computer-Assisted Intervention (MICCAI 2024)</w:t>
      </w:r>
      <w:r>
        <w:rPr>
          <w:sz w:val="19"/>
        </w:rPr>
        <w:t xml:space="preserve"> </w:t>
      </w:r>
      <w:r>
        <w:rPr>
          <w:sz w:val="19"/>
        </w:rPr>
        <w:t xml:space="preserve">(Lecture Notes in Computer Science, Vol. 15001, pp. 242-252). Springer. https://doi.org/10.1007/978-3-031-72378-0_23</w:t>
      </w:r>
    </w:p>
    <w:p>
      <w:pPr>
        <w:pStyle w:val="ReferenceEntry"/>
        <w:spacing w:after="100"/>
        <w:ind w:left="475" w:hanging="475"/>
        <w:jc w:val="left"/>
        <w:keepNext w:val="0"/>
        <w:keepLines w:val="0"/>
        <w:widowControl w:val="1"/>
      </w:pPr>
      <w:r>
        <w:rPr>
          <w:rFonts w:ascii="Georgia" w:hAnsi="Georgia"/>
          <w:sz w:val="19"/>
        </w:rPr>
        <w:t xml:space="preserve">37. </w:t>
      </w:r>
      <w:r>
        <w:rPr>
          <w:sz w:val="19"/>
        </w:rPr>
        <w:t xml:space="preserve">Huang, G., Liu, Z., Van Der Maaten, L., &amp; Weinberger, K. Q. (2017). Densely connected convolutional networks.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4700-4708). IEEE. https://doi.org/10.1109/CVPR.2017.243</w:t>
      </w:r>
    </w:p>
    <w:p>
      <w:pPr>
        <w:pStyle w:val="ReferenceEntry"/>
        <w:spacing w:after="100"/>
        <w:ind w:left="475" w:hanging="475"/>
        <w:jc w:val="left"/>
        <w:keepNext w:val="0"/>
        <w:keepLines w:val="0"/>
        <w:widowControl w:val="1"/>
      </w:pPr>
      <w:r>
        <w:rPr>
          <w:rFonts w:ascii="Georgia" w:hAnsi="Georgia"/>
          <w:sz w:val="19"/>
        </w:rPr>
        <w:t xml:space="preserve">38. </w:t>
      </w:r>
      <w:r>
        <w:rPr>
          <w:color w:val="C00030"/>
          <w:sz w:val="19"/>
        </w:rPr>
        <w:t xml:space="preserve">Teye, M., Azizpour, H., &amp; Smith, K. (2018). Bayesian uncertainty estimation for batch normalized deep networks. In</w:t>
      </w:r>
      <w:r>
        <w:rPr>
          <w:sz w:val="19"/>
        </w:rPr>
        <w:t xml:space="preserve"> </w:t>
      </w:r>
      <w:r>
        <w:rPr>
          <w:i/>
          <w:iCs/>
          <w:color w:val="C00030"/>
          <w:sz w:val="19"/>
        </w:rPr>
        <w:t xml:space="preserve">Proceedings of the 35th International Conference on Machine Learning (ICML 2018)</w:t>
      </w:r>
      <w:r>
        <w:rPr>
          <w:sz w:val="19"/>
        </w:rPr>
        <w:t xml:space="preserve"> </w:t>
      </w:r>
      <w:r>
        <w:rPr>
          <w:color w:val="C00030"/>
          <w:sz w:val="19"/>
        </w:rPr>
        <w:t xml:space="preserve">(Proceedings of Machine Learning Research, Vol. 80, pp. 4907-4916). PMLR. https://proceedings.mlr.press/v80/teye18a.html</w:t>
      </w:r>
    </w:p>
    <w:p>
      <w:pPr>
        <w:pStyle w:val="ReferenceEntry"/>
        <w:spacing w:after="100"/>
        <w:ind w:left="475" w:hanging="475"/>
        <w:jc w:val="left"/>
        <w:keepNext w:val="0"/>
        <w:keepLines w:val="0"/>
        <w:widowControl w:val="1"/>
      </w:pPr>
      <w:r>
        <w:rPr>
          <w:rFonts w:ascii="Georgia" w:hAnsi="Georgia"/>
          <w:sz w:val="19"/>
        </w:rPr>
        <w:t xml:space="preserve">39. </w:t>
      </w:r>
      <w:r>
        <w:rPr>
          <w:color w:val="C00030"/>
          <w:sz w:val="19"/>
        </w:rPr>
        <w:t xml:space="preserve">Wang, G., Li, W., Aertsen, M., Deprest, J., Ourselin, S., &amp; Vercauteren, T. (2019). Aleatoric uncertainty estimation with test-time augmentation for medical image segmentation with convolutional neural networks.</w:t>
      </w:r>
      <w:r>
        <w:rPr>
          <w:sz w:val="19"/>
        </w:rPr>
        <w:t xml:space="preserve"> </w:t>
      </w:r>
      <w:r>
        <w:rPr>
          <w:i/>
          <w:iCs/>
          <w:color w:val="C00030"/>
          <w:sz w:val="19"/>
        </w:rPr>
        <w:t xml:space="preserve">Neurocomputing, 338</w:t>
      </w:r>
      <w:r>
        <w:rPr>
          <w:color w:val="C00030"/>
          <w:sz w:val="19"/>
        </w:rPr>
        <w:t xml:space="preserve">, 34-45. https://doi.org/10.1016/j.neucom.2019.01.103</w:t>
      </w:r>
    </w:p>
    <w:p>
      <w:pPr>
        <w:pStyle w:val="ReferenceEntry"/>
        <w:spacing w:after="100"/>
        <w:ind w:left="475" w:hanging="475"/>
        <w:jc w:val="left"/>
        <w:keepNext w:val="0"/>
        <w:keepLines w:val="0"/>
        <w:widowControl w:val="1"/>
      </w:pPr>
      <w:r>
        <w:rPr>
          <w:rFonts w:ascii="Georgia" w:hAnsi="Georgia"/>
          <w:sz w:val="19"/>
        </w:rPr>
        <w:t xml:space="preserve">40. </w:t>
      </w:r>
      <w:r>
        <w:rPr>
          <w:sz w:val="19"/>
        </w:rPr>
        <w:t xml:space="preserve">Platt, J. C. (1999). Probabilistic outputs for support vector machines and comparisons to regularized likelihood methods. In A. J. Smola, P. Bartlett, B. Schölkopf, &amp; D. Schuurmans (Eds.),</w:t>
      </w:r>
      <w:r>
        <w:rPr>
          <w:sz w:val="19"/>
        </w:rPr>
        <w:t xml:space="preserve"> </w:t>
      </w:r>
      <w:r>
        <w:rPr>
          <w:i/>
          <w:iCs/>
          <w:color w:val="C00030"/>
          <w:sz w:val="19"/>
        </w:rPr>
        <w:t xml:space="preserve">Advances in Large Margin Classifiers</w:t>
      </w:r>
      <w:r>
        <w:rPr>
          <w:sz w:val="19"/>
        </w:rPr>
        <w:t xml:space="preserve"> </w:t>
      </w:r>
      <w:r>
        <w:rPr>
          <w:color w:val="C00030"/>
          <w:sz w:val="19"/>
        </w:rPr>
        <w:t xml:space="preserve">(pp. 61-74). MIT Press. ISBN 978-0-262-19448-8.</w:t>
      </w:r>
    </w:p>
    <w:p>
      <w:pPr>
        <w:pStyle w:val="ReferenceEntry"/>
        <w:spacing w:after="100"/>
        <w:ind w:left="475" w:hanging="475"/>
        <w:jc w:val="left"/>
        <w:keepNext w:val="0"/>
        <w:keepLines w:val="0"/>
        <w:widowControl w:val="1"/>
      </w:pPr>
      <w:r>
        <w:rPr>
          <w:rFonts w:ascii="Georgia" w:hAnsi="Georgia"/>
          <w:sz w:val="19"/>
        </w:rPr>
        <w:t xml:space="preserve">41. </w:t>
      </w:r>
      <w:r>
        <w:rPr>
          <w:color w:val="C00030"/>
          <w:sz w:val="19"/>
        </w:rPr>
        <w:t xml:space="preserve">Zadrozny, B., &amp; Elkan, C. (2002). Transforming classifier scores into accurate multiclass probability estimates. In</w:t>
      </w:r>
      <w:r>
        <w:rPr>
          <w:sz w:val="19"/>
        </w:rPr>
        <w:t xml:space="preserve"> </w:t>
      </w:r>
      <w:r>
        <w:rPr>
          <w:i/>
          <w:iCs/>
          <w:color w:val="C00030"/>
          <w:sz w:val="19"/>
        </w:rPr>
        <w:t xml:space="preserve">Proceedings of the 8th ACM SIGKDD International Conference on Knowledge Discovery and Data Mining (KDD 2002)</w:t>
      </w:r>
      <w:r>
        <w:rPr>
          <w:sz w:val="19"/>
        </w:rPr>
        <w:t xml:space="preserve"> </w:t>
      </w:r>
      <w:r>
        <w:rPr>
          <w:color w:val="C00030"/>
          <w:sz w:val="19"/>
        </w:rPr>
        <w:t xml:space="preserve">(pp. 694-699). ACM. https://doi.org/10.1145/775047.775151</w:t>
      </w:r>
    </w:p>
    <w:p>
      <w:pPr>
        <w:pStyle w:val="ReferenceEntry"/>
        <w:spacing w:after="100"/>
        <w:ind w:left="475" w:hanging="475"/>
        <w:jc w:val="left"/>
        <w:keepNext w:val="0"/>
        <w:keepLines w:val="0"/>
        <w:widowControl w:val="1"/>
      </w:pPr>
      <w:r>
        <w:rPr>
          <w:rFonts w:ascii="Georgia" w:hAnsi="Georgia"/>
          <w:sz w:val="19"/>
        </w:rPr>
        <w:t xml:space="preserve">42. </w:t>
      </w:r>
      <w:r>
        <w:rPr>
          <w:sz w:val="19"/>
        </w:rPr>
        <w:t xml:space="preserve">Seyyed-Kalantari, L., Liu, G., McDermott, M., Chen, I. Y., &amp; Ghassemi, M. (2021). CheXclusion: Fairness gaps in deep chest X-ray classifiers. In</w:t>
      </w:r>
      <w:r>
        <w:rPr>
          <w:sz w:val="19"/>
        </w:rPr>
        <w:t xml:space="preserve"> </w:t>
      </w:r>
      <w:r>
        <w:rPr>
          <w:i/>
          <w:iCs/>
          <w:sz w:val="19"/>
        </w:rPr>
        <w:t xml:space="preserve">Pacific Symposium on Biocomputing 2021</w:t>
      </w:r>
      <w:r>
        <w:rPr>
          <w:sz w:val="19"/>
        </w:rPr>
        <w:t xml:space="preserve"> </w:t>
      </w:r>
      <w:r>
        <w:rPr>
          <w:sz w:val="19"/>
        </w:rPr>
        <w:t xml:space="preserve">(pp. 232-243). World Scientific. https://doi.org/10.1142/9789811232701_0022</w:t>
      </w:r>
    </w:p>
    <w:p>
      <w:pPr>
        <w:pStyle w:val="ReferenceEntry"/>
        <w:spacing w:after="100"/>
        <w:ind w:left="475" w:hanging="475"/>
        <w:jc w:val="left"/>
        <w:keepNext w:val="0"/>
        <w:keepLines w:val="0"/>
        <w:widowControl w:val="1"/>
      </w:pPr>
      <w:r>
        <w:rPr>
          <w:rFonts w:ascii="Georgia" w:hAnsi="Georgia"/>
          <w:sz w:val="19"/>
        </w:rPr>
        <w:t xml:space="preserve">43. </w:t>
      </w:r>
      <w:r>
        <w:rPr>
          <w:color w:val="0A7D32"/>
          <w:sz w:val="19"/>
        </w:rPr>
        <w:t xml:space="preserve">Johnson, A., Lungren, M., Peng, Y., Lu, Z., Mark, R., Berkowitz, S., &amp; Horng, S. (2024).</w:t>
      </w:r>
      <w:r>
        <w:rPr>
          <w:sz w:val="19"/>
        </w:rPr>
        <w:t xml:space="preserve"> </w:t>
      </w:r>
      <w:r>
        <w:rPr>
          <w:i/>
          <w:iCs/>
          <w:sz w:val="19"/>
        </w:rPr>
        <w:t xml:space="preserve">MIMIC-CXR-JPG — chest radiographs with structured labels</w:t>
      </w:r>
      <w:r>
        <w:rPr>
          <w:sz w:val="19"/>
        </w:rPr>
        <w:t xml:space="preserve"> </w:t>
      </w:r>
      <w:r>
        <w:rPr>
          <w:color w:val="0A7D32"/>
          <w:sz w:val="19"/>
        </w:rPr>
        <w:t xml:space="preserve">(version 2.1.0) [Data set]. PhysioNet. RRID:SCR_007345. https://doi.org/10.13026/jsn5-t979</w:t>
      </w:r>
    </w:p>
    <w:p>
      <w:pPr>
        <w:pStyle w:val="ReferenceEntry"/>
        <w:spacing w:after="100"/>
        <w:ind w:left="475" w:hanging="475"/>
        <w:jc w:val="left"/>
        <w:keepNext w:val="0"/>
        <w:keepLines w:val="0"/>
        <w:widowControl w:val="1"/>
      </w:pPr>
      <w:r>
        <w:rPr>
          <w:rFonts w:ascii="Georgia" w:hAnsi="Georgia"/>
          <w:sz w:val="19"/>
        </w:rPr>
        <w:t xml:space="preserve">44. </w:t>
      </w:r>
      <w:r>
        <w:rPr>
          <w:color w:val="0A7D32"/>
          <w:sz w:val="19"/>
        </w:rPr>
        <w:t xml:space="preserve">Johnson, A. E. W., Pollard, T. J., Berkowitz, S. J., Greenbaum, N. R., Lungren, M. P., Deng, C.-Y., Mark, R. G., &amp; Horng, S. (2019). MIMIC-CXR, a de-identified publicly available database of chest radiographs with free-text reports.</w:t>
      </w:r>
      <w:r>
        <w:rPr>
          <w:sz w:val="19"/>
        </w:rPr>
        <w:t xml:space="preserve"> </w:t>
      </w:r>
      <w:r>
        <w:rPr>
          <w:i/>
          <w:iCs/>
          <w:color w:val="0A7D32"/>
          <w:sz w:val="19"/>
        </w:rPr>
        <w:t xml:space="preserve">Scientific Data, 6</w:t>
      </w:r>
      <w:r>
        <w:rPr>
          <w:color w:val="0A7D32"/>
          <w:sz w:val="19"/>
        </w:rPr>
        <w:t xml:space="preserve">, 317. https://doi.org/10.1038/s41597-019-0322-0</w:t>
      </w:r>
    </w:p>
    <w:p>
      <w:pPr>
        <w:pStyle w:val="ReferenceEntry"/>
        <w:spacing w:after="100"/>
        <w:ind w:left="475" w:hanging="475"/>
        <w:jc w:val="left"/>
        <w:keepNext w:val="0"/>
        <w:keepLines w:val="0"/>
        <w:widowControl w:val="1"/>
      </w:pPr>
      <w:r>
        <w:rPr>
          <w:rFonts w:ascii="Georgia" w:hAnsi="Georgia"/>
          <w:sz w:val="19"/>
        </w:rPr>
        <w:t xml:space="preserve">45. </w:t>
      </w:r>
      <w:r>
        <w:rPr>
          <w:color w:val="0A7D32"/>
          <w:sz w:val="19"/>
        </w:rPr>
        <w:t xml:space="preserve">Goldberger, A. L., Amaral, L. A. N., Glass, L., Hausdorff, J. M., Ivanov, P. Ch., Mark, R. G., Mietus, J. E., Moody, G. B., Peng, C.-K., &amp; Stanley, H. E. (2000). PhysioBank, PhysioToolkit, and PhysioNet: Components of a new research resource for complex physiologic signals.</w:t>
      </w:r>
      <w:r>
        <w:rPr>
          <w:sz w:val="19"/>
        </w:rPr>
        <w:t xml:space="preserve"> </w:t>
      </w:r>
      <w:r>
        <w:rPr>
          <w:i/>
          <w:iCs/>
          <w:color w:val="0A7D32"/>
          <w:sz w:val="19"/>
        </w:rPr>
        <w:t xml:space="preserve">Circulation, 101</w:t>
      </w:r>
      <w:r>
        <w:rPr>
          <w:color w:val="0A7D32"/>
          <w:sz w:val="19"/>
        </w:rPr>
        <w:t xml:space="preserve">(23), e215-e220. https://doi.org/10.1161/01.CIR.101.23.e215</w:t>
      </w:r>
    </w:p>
    <w:bookmarkEnd w:id="59"/>
    <w:bookmarkEnd w:id="6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2026-07-22T11:18:31Z</dcterms:created>
  <dcterms:modified xsi:type="dcterms:W3CDTF">2026-07-22T11:18:31Z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