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Amit Tzahar</w:t>
      </w:r>
      <w:r>
        <w:rPr>
          <w:rFonts w:ascii="Georgia" w:hAnsi="Georgia"/>
          <w:b w:val="0"/>
          <w:i/>
          <w:sz w:val="20"/>
          <w:vertAlign w:val="superscript"/>
        </w:rPr>
        <w:t xml:space="preserve">1</w:t>
      </w:r>
      <w:r>
        <w:rPr>
          <w:rFonts w:ascii="Georgia" w:hAnsi="Georgia"/>
          <w:b w:val="0"/>
          <w:i/>
          <w:sz w:val="20"/>
        </w:rPr>
        <w:t xml:space="preserve">, Alon Gottlib</w:t>
      </w:r>
      <w:r>
        <w:rPr>
          <w:rFonts w:ascii="Georgia" w:hAnsi="Georgia"/>
          <w:b w:val="0"/>
          <w:i/>
          <w:sz w:val="20"/>
          <w:vertAlign w:val="superscript"/>
        </w:rPr>
        <w:t xml:space="preserve">1</w:t>
      </w:r>
      <w:r>
        <w:rPr>
          <w:rFonts w:ascii="Georgia" w:hAnsi="Georgia"/>
          <w:b w:val="0"/>
          <w:i/>
          <w:sz w:val="20"/>
        </w:rPr>
        <w:t xml:space="preserve">, Tal Verber</w:t>
      </w:r>
      <w:r>
        <w:rPr>
          <w:rFonts w:ascii="Georgia" w:hAnsi="Georgia"/>
          <w:b w:val="0"/>
          <w:i/>
          <w:sz w:val="20"/>
          <w:vertAlign w:val="superscript"/>
        </w:rPr>
        <w:t xml:space="preserve">1</w:t>
      </w:r>
      <w:r>
        <w:rPr>
          <w:rFonts w:ascii="Georgia" w:hAnsi="Georgia"/>
          <w:b w:val="0"/>
          <w:i/>
          <w:sz w:val="20"/>
        </w:rPr>
        <w:t xml:space="preserve">, Ravit Shagan Damti</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0.04 to 0.09 at a coverage of 0.70 (95% confidence intervals excluding zero). The improvement reproduces on MIMIC-CXR (three of four pathologies) and on PadChest, and it holds for all four pathologies on an independently trained model, including when that model is evaluated cross-dataset on a source it never trained on.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we adopt this backbone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[9] attribute much of the cross-dataset gap to label shift.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evaluation data, and Figure 2 shows representative frontal radiographs for the target conditions.</w:t>
      </w:r>
    </w:p>
    <w:p>
      <w:pPr>
        <w:pStyle w:val="TableCaption"/>
        <w:spacing w:before="280" w:after="60" w:line="240" w:lineRule="auto"/>
        <w:jc w:val="center"/>
        <w:keepNext/>
        <w:keepLines/>
        <w:widowControl w:val="1"/>
      </w:pPr>
      <w:r>
        <w:rPr>
          <w:b/>
          <w:i/>
          <w:highlight w:val="yellow"/>
        </w:rPr>
        <w:t>Table 1:</w:t>
      </w:r>
      <w:r>
        <w:rPr>
          <w:b w:val="0"/>
          <w:i/>
        </w:rPr>
        <w:t xml:space="preserve"> </w:t>
      </w:r>
      <w:r>
        <w:rPr>
          <w:b w:val="0"/>
          <w:i/>
          <w:highlight w:val="yellow"/>
        </w:rPr>
        <w:t>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2284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3608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1255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959</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1661</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6.8</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Examples of chest X-ray images with their associated pathology labels. The figure displays representative frontal chest radiographs corresponding to various thoracic conditions, including Cardiomegaly, Consolidation, Edema, and Effusion, which are among the four pathologies studied in this work.</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two or three complete datasets are used for training while the remaining dataset is held out entirely for validation, creating an out-of-distribution test scenario. 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[9],[30].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5,000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943600" cy="3396342"/>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339634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at the calibrated operating point, shown for PadChest. Correct predictions concentrate at low entropy while incorrect predictions concentrate at high entropy, which is what makes uncertainty-based deferral effective.</w:t>
      </w: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pStyle w:val="TableCaption"/>
        <w:spacing w:before="28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+0.082 [0.056, 0.113]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0.822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+0.043 [0.029, 0.060]</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0.841</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+0.086 [0.054, 0.125]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0.807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green"/>
        </w:rPr>
        <w:t xml:space="preserve">On MIMIC-CXR (8,185 frontal images), the same calibrated-threshold analysis yields supported balanced-accuracy gains for three of the four pathologies (Cardiomegaly +0.073 [0.061, 0.088], Effusion +0.088 [0.076, 0.100], Edema +0.060 [0.043, 0.076];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0.90, Effusion 0.96, Consolidation 0.92), deferral improves Cardiomegaly balanced accuracy from 0.81 to 0.90 at a coverage of 0.70 (+0.086 [0.062, 0.110]; 95% confidence interval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both large evaluation sets (Figure 5).</w:t>
      </w:r>
    </w:p>
    <w:p>
      <w:pPr>
        <w:pStyle w:val="BodyText"/>
        <w:jc w:val="center"/>
        <w:keepNext/>
        <w:keepLines/>
        <w:widowControl w:val="1"/>
      </w:pPr>
      <w:r>
        <w:drawing>
          <wp:inline>
            <wp:extent cx="5943600" cy="2496312"/>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two large evaluation sets (NIH ChestX-ray14 and MIMIC-CXR). The with-rejection distribution exceeds the baseline for every pathology.</w:t>
      </w: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(Table 5).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p>
      <w:pPr>
        <w:pStyle w:val="TableCaption"/>
        <w:spacing w:before="280" w:after="60" w:line="240" w:lineRule="auto"/>
        <w:jc w:val="center"/>
        <w:keepNext/>
        <w:keepLines/>
        <w:widowControl w:val="1"/>
      </w:pPr>
      <w:r>
        <w:rPr>
          <w:b/>
          <w:i/>
          <w:highlight w:val="green"/>
        </w:rPr>
        <w:t>Table 5:</w:t>
      </w:r>
      <w:r>
        <w:rPr>
          <w:b w:val="0"/>
          <w:i/>
        </w:rPr>
        <w:t xml:space="preserve"> </w:t>
      </w:r>
      <w:r>
        <w:rPr>
          <w:b w:val="0"/>
          <w:i/>
          <w:highlight w:val="green"/>
        </w:rPr>
        <w:t>Balanced-accuracy change at a coverage of 0.70 under different rejection rules (NIH ChestX-ray14, same evaluation split as Table 2). Random rejection is a control; margin and maximum-probability rejection are rank-identical to entropy on a deterministic backbone.</w:t>
      </w:r>
    </w:p>
    <w:tbl>
      <w:tblPr>
        <w:tblStyle w:val="Table"/>
        <w:tblW w:type="pct" w:w="5000"/>
        <w:jc w:val="center"/>
        <w:tblLook w:firstRow="1" w:lastRow="0" w:firstColumn="0" w:lastColumn="0" w:noHBand="0" w:noVBand="0" w:val="0020"/>
        <w:tblCaption w:val="Table 5: Balanced-accuracy change at a coverage of 0.70 under different rejection rules (NIH ChestX-ray14, same evaluation split as Table 2). Random rejection is a control; margin and maximum-probability rejection are rank-identical to entropy on a deterministic backbo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Random rejection (control)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Entropy rejection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Margin / max-probability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+0.076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bl>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pStyle w:val="TableCaption"/>
        <w:spacing w:before="28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pStyle w:val="BodyText"/>
        <w:spacing w:before="240"/>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Effusion (+0.083 [0.053, 0.114]), Edema (+0.109 [0.044, 0.190]), and Consolidation (+0.069 [0.028, 0.118]). The robustness extends to a geographically independent source: applying the NIH-trained model to PadChest, a Spanish cohort never seen during training, deferral improves retained balanced accuracy for Effusion (+0.054 [0.010, 0.091]), Edema (+0.090 [0.058, 0.110]), and Consolidation (+0.081 [0.059, 0.095]), all with 95% confidence intervals excluding zero. Selective prediction therefore provides a safeguard precisely where it is most needed, on out-of-distribution inputs.</w:t>
      </w:r>
    </w:p>
    <w:p>
      <w:pPr>
        <w:pStyle w:val="TableCaption"/>
        <w:spacing w:before="28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+0.040 [0.028, 0.053]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+0.073 [0.062, 0.084]</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+0.083 [0.076, 0.088]</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0.671</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+0.052 [0.030, 0.084]</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5943600" cy="418882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418882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1"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on an independently trained model (including when applied cross-dataset), for three of four conditions on MIMIC-CXR, and for the majority of conditions on the remaining sources;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0.04 to 0.09;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(Table 5), so the benefit reflects the uncertainty ranking rather than the reduced caseload.</w:t>
      </w:r>
      <w:r>
        <w:t xml:space="preserve"> </w:t>
      </w:r>
      <w:r>
        <w:t xml:space="preserve">Together these findings support uncertainty-aware selective prediction as a route to safer, more trustworthy AI-assisted diagnosis.</w:t>
      </w:r>
    </w:p>
    <w:bookmarkEnd w:id="51"/>
    <w:bookmarkStart w:id="52"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Two boundary conditions scope these results: the evaluation covers four thoracic findings and frontal views, and multimodal inputs and additional findings remain for future work.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2"/>
    <w:bookmarkStart w:id="53"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 Code and frozen per-image predictions that reproduce every table and figure are released at github.com/ApartsinProjects/cxr-selective-rejection-code.</w:t>
      </w:r>
    </w:p>
    <w:bookmarkEnd w:id="53"/>
    <w:bookmarkStart w:id="54"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4"/>
    <w:bookmarkStart w:id="55"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55"/>
    <w:bookmarkEnd w:id="56"/>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2026-06-05T10:44:55Z</dcterms:created>
  <dcterms:modified xsi:type="dcterms:W3CDTF">2026-06-05T10:44:55Z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