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Georgia" w:hAnsi="Georgia"/>
          <w:b w:val="0"/>
          <w:i/>
          <w:sz w:val="20"/>
        </w:rPr>
        <w:t xml:space="preserve">Yehudit Aperstein</w:t>
      </w:r>
      <w:r>
        <w:rPr>
          <w:rFonts w:ascii="Georgia" w:hAnsi="Georgia"/>
          <w:b w:val="0"/>
          <w:i/>
          <w:sz w:val="20"/>
          <w:vertAlign w:val="superscript"/>
        </w:rPr>
        <w:t xml:space="preserve">1,*</w:t>
      </w:r>
      <w:r>
        <w:rPr>
          <w:rFonts w:ascii="Georgia" w:hAnsi="Georgia"/>
          <w:b w:val="0"/>
          <w:i/>
          <w:sz w:val="20"/>
        </w:rPr>
        <w:t xml:space="preserve">, Amit Tzahar</w:t>
      </w:r>
      <w:r>
        <w:rPr>
          <w:rFonts w:ascii="Georgia" w:hAnsi="Georgia"/>
          <w:b w:val="0"/>
          <w:i/>
          <w:sz w:val="20"/>
          <w:vertAlign w:val="superscript"/>
        </w:rPr>
        <w:t xml:space="preserve">1</w:t>
      </w:r>
      <w:r>
        <w:rPr>
          <w:rFonts w:ascii="Georgia" w:hAnsi="Georgia"/>
          <w:b w:val="0"/>
          <w:i/>
          <w:sz w:val="20"/>
        </w:rPr>
        <w:t xml:space="preserve">, Alon Gottlib</w:t>
      </w:r>
      <w:r>
        <w:rPr>
          <w:rFonts w:ascii="Georgia" w:hAnsi="Georgia"/>
          <w:b w:val="0"/>
          <w:i/>
          <w:sz w:val="20"/>
          <w:vertAlign w:val="superscript"/>
        </w:rPr>
        <w:t xml:space="preserve">1</w:t>
      </w:r>
      <w:r>
        <w:rPr>
          <w:rFonts w:ascii="Georgia" w:hAnsi="Georgia"/>
          <w:b w:val="0"/>
          <w:i/>
          <w:sz w:val="20"/>
        </w:rPr>
        <w:t xml:space="preserve">, Tal Verber</w:t>
      </w:r>
      <w:r>
        <w:rPr>
          <w:rFonts w:ascii="Georgia" w:hAnsi="Georgia"/>
          <w:b w:val="0"/>
          <w:i/>
          <w:sz w:val="20"/>
          <w:vertAlign w:val="superscript"/>
        </w:rPr>
        <w:t xml:space="preserve">1</w:t>
      </w:r>
      <w:r>
        <w:rPr>
          <w:rFonts w:ascii="Georgia" w:hAnsi="Georgia"/>
          <w:b w:val="0"/>
          <w:i/>
          <w:sz w:val="20"/>
        </w:rPr>
        <w:t xml:space="preserve">, Ravit Shagan Damti</w:t>
      </w:r>
      <w:r>
        <w:rPr>
          <w:rFonts w:ascii="Georgia" w:hAnsi="Georgia"/>
          <w:b w:val="0"/>
          <w:i/>
          <w:sz w:val="20"/>
          <w:vertAlign w:val="superscript"/>
        </w:rPr>
        <w:t xml:space="preserve">1</w:t>
      </w:r>
      <w:r>
        <w:rPr>
          <w:rFonts w:ascii="Georgia" w:hAnsi="Georgia"/>
          <w:b w:val="0"/>
          <w:i/>
          <w:sz w:val="20"/>
        </w:rPr>
        <w:t xml:space="preserve">, Alexander Apartsin</w:t>
      </w:r>
      <w:r>
        <w:rPr>
          <w:rFonts w:ascii="Georgia" w:hAnsi="Georgia"/>
          <w:b w:val="0"/>
          <w:i/>
          <w:sz w:val="20"/>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on NIH ChestX-ray14, with gains of 0.07 to 0.09 at a coverage of 0.70 (95% confidence intervals excluding zero). Every target pathology is also supported on MIMIC-CXR and PadChest, on an independently trained model evaluated cross-dataset on a source it never saw, and under leave-one-dataset-out domain shift in both transfer directions. A key methodological factor is the uncertainty axis: computing predictive entropy on the model's raw probability, rather than the operating-point-normalized output that pretrained backbones emit by default, is necessary for the selective signal to transfer consistently across pathologies and datasets.</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pStyle w:val="BodyText"/>
        <w:jc w:val="center"/>
        <w:keepNext/>
        <w:keepLines/>
        <w:widowControl w:val="1"/>
      </w:pPr>
      <w:r>
        <w:drawing>
          <wp:inline>
            <wp:extent cx="5943600" cy="3369177"/>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5943600" cy="3369177"/>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H</m:t>
        </m:r>
        <m:r>
          <m:rPr>
            <m:sty m:val="p"/>
          </m:rPr>
          <m:t>(</m:t>
        </m:r>
        <m:sSub>
          <m:e>
            <m:r>
              <m:t>p</m:t>
            </m:r>
          </m:e>
          <m:sub>
            <m:r>
              <m:t>i</m:t>
            </m:r>
          </m:sub>
        </m:sSub>
        <m:r>
          <m:rPr>
            <m:sty m:val="p"/>
          </m:rPr>
          <m:t>)</m:t>
        </m:r>
      </m:oMath>
      <m:oMath>
        <m:sSub>
          <m:e>
            <m:r>
              <m:t>τ</m:t>
            </m:r>
          </m:e>
          <m:sub>
            <m:r>
              <m:t>i</m:t>
            </m:r>
          </m:sub>
        </m:sSub>
      </m:oMath>
      <m:oMath>
        <m:r>
          <m:t>H</m:t>
        </m:r>
        <m:r>
          <m:rPr>
            <m:sty m:val="p"/>
          </m:rPr>
          <m:t>(</m:t>
        </m:r>
        <m:sSub>
          <m:e>
            <m:r>
              <m:t>p</m:t>
            </m:r>
          </m:e>
          <m:sub>
            <m:r>
              <m:t>i</m:t>
            </m:r>
          </m:sub>
        </m:sSub>
        <m:r>
          <m:rPr>
            <m:sty m:val="p"/>
          </m:rPr>
          <m:t>)</m:t>
        </m:r>
        <m:r>
          <m:rPr>
            <m:sty m:val="p"/>
          </m:rPr>
          <m:t>≤</m:t>
        </m:r>
        <m:sSub>
          <m:e>
            <m:r>
              <m:t>τ</m:t>
            </m:r>
          </m:e>
          <m:sub>
            <m:r>
              <m:t>i</m:t>
            </m:r>
          </m:sub>
        </m:sSub>
      </m:oMath>
      <m:oMath>
        <m:r>
          <m:t>H</m:t>
        </m:r>
        <m:r>
          <m:rPr>
            <m:sty m:val="p"/>
          </m:rPr>
          <m:t>(</m:t>
        </m:r>
        <m:sSub>
          <m:e>
            <m:r>
              <m:t>p</m:t>
            </m:r>
          </m:e>
          <m:sub>
            <m:r>
              <m:t>i</m:t>
            </m:r>
          </m:sub>
        </m:sSub>
        <m:r>
          <m:rPr>
            <m:sty m:val="p"/>
          </m:rPr>
          <m:t>)</m:t>
        </m:r>
        <m:r>
          <m:rPr>
            <m:sty m:val="p"/>
          </m:rPr>
          <m:t>&gt;</m:t>
        </m:r>
        <m:sSub>
          <m:e>
            <m:r>
              <m:t>τ</m:t>
            </m:r>
          </m:e>
          <m:sub>
            <m:r>
              <m:t>i</m:t>
            </m:r>
          </m:sub>
        </m:sSub>
      </m:oMath>
      <w:r>
        <w:rPr>
          <w:b/>
          <w:i/>
        </w:rPr>
        <w:t>Figure 1:</w:t>
      </w:r>
      <w:r>
        <w:rPr>
          <w:b w:val="0"/>
          <w:i/>
        </w:rPr>
        <w:t xml:space="preserve"> </w:t>
      </w:r>
      <w:r>
        <w:rPr>
          <w:b w:val="0"/>
          <w:i/>
        </w:rPr>
        <w:t>Overview of the proposed selective chest X-ray classification framework. The multi-pathology classification model (a DenseNet-121 backbone) produces per-pathology probabilities; a confidence-estimation stage computes the binary entropy  of each, and quantile-based threshold calibration yields a per-class threshold . The decision module compares each pathology's entropy against its threshold, accepting confident findings () as a partial-pathology classification and deferring uncertain findings () for expert review. Each pathology is accepted or deferred independently, so acceptance is a partial-label output rather than a global clearance of the image.</w:t>
      </w: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r>
        <w:t xml:space="preserve"> </w:t>
      </w:r>
      <w:r>
        <w:rPr>
          <w:highlight w:val="green"/>
        </w:rPr>
        <w:t xml:space="preserve">and (4) the finding that pretrained chest X-ray backbones apply an operating-point normalization that deforms the per-pathology probability axis, so that predictive entropy must be computed on the raw model probability for the selective signal to transfer consistently across pathologies and datasets.</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[3], CheXpert [5], MIMIC-CXR [10], and PadChest [11] [33]; we adopt the corresponding TorchXRayVision backbone [9] and augment it with a rejection mechanism.</w:t>
      </w:r>
      <w:r>
        <w:t xml:space="preserve"> </w:t>
      </w:r>
      <w:r>
        <w:rPr>
          <w:highlight w:val="green"/>
        </w:rPr>
        <w:t xml:space="preserve">Cross-domain generalization in this setting is known to be fragile: Zech et al. [31] show that models can exploit hospital-specific confounders and degrade across acquisition sites, and Cohen et al. [33] attribute much of the cross-dataset gap to label shift rather than to a shift in the images themselves. Ovadia et al. [32]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[12] and machine learning [13] shows that increased uncertainty leads to greater sensitivity to small perturbations, often indicating operation near a decision boundary. Such instability motivates analyzing perturbation responses as a diagnostic tool [14] and is frequently leveraged in active learning [15],[16], where uncertain samples are prioritized for annotation. Selective classification, the reject option, allows a model to abstain on uncertain inputs to reduce errors. Chow [17] formalized the error-reject trade-off, and Cortes et al. [18] developed frameworks for learning with a reject option. For deep networks, Geifman and El-Yaniv [19] introduced a risk-coverage framework that thresholds the maximal softmax response to guarantee a user-specified error rate, and proposed SelectiveNet [20], which optimizes the accuracy-coverage trade-off during training. Lakshminarayanan et al. [21] showed that deep ensembles provide high-quality uncertainty estimates. Fisch et al. [22] train a selector for calibrated selective classification; Cattelan and Silva [23] propose a logit normalization that improves confidence-based rejection; and Rabanser et al. [24] reject inputs whose predictions flip during training.</w:t>
      </w:r>
      <w:r>
        <w:t xml:space="preserve"> </w:t>
      </w:r>
      <w:r>
        <w:rPr>
          <w:highlight w:val="green"/>
        </w:rPr>
        <w:t xml:space="preserve">The risk-coverage curve and its area introduced in this line of work [19]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[25] emphasize that machine learning systems in healthcare should be able to say "I do not know" for high-uncertainty cases, and survey abstention methods. Faghani et al. [26] outline emerging trends in uncertainty quantification for medical imaging, noting that an uncertainty measure allows experts to re-evaluate doubtful cases. In chest radiography specifically, Whata et al. [27] developed a Bayesian CNN that quantifies predictive uncertainty for multi-class classification, and Das et al. [28]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 Table 1 summarizes the class distribution of the final evaluation cohort (37,397 frontal images) used for all reported analyses, and Figure 2 shows representative frontal radiographs for the target conditions.</w:t>
      </w:r>
    </w:p>
    <w:p>
      <w:pPr>
        <w:pStyle w:val="TableCaption"/>
        <w:spacing w:before="280" w:after="60" w:line="240" w:lineRule="auto"/>
        <w:jc w:val="center"/>
        <w:keepNext/>
        <w:keepLines/>
        <w:widowControl w:val="1"/>
      </w:pPr>
      <w:r>
        <w:rPr>
          <w:b/>
          <w:i/>
          <w:highlight w:val="yellow"/>
        </w:rPr>
        <w:t>Table 1:</w:t>
      </w:r>
      <w:r>
        <w:rPr>
          <w:b w:val="0"/>
          <w:i/>
        </w:rPr>
        <w:t xml:space="preserve"> </w:t>
      </w:r>
      <w:r>
        <w:rPr>
          <w:b w:val="0"/>
          <w:i/>
          <w:highlight w:val="yellow"/>
        </w:rPr>
        <w:t>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final evaluation cohort used for the selective-prediction analyses, across the three sources (NIH ChestX-ray14, MIMIC-CXR, and PadChest; N = 37,397 frontal images), reported as positive-label counts. This cohort is the harmonized, patient-level-split set on which all reported results are computed.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3447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9.2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4396</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1407</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1125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3.0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1885</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Georgia" w:hAnsi="Georgia"/>
                <w:sz w:val="19"/>
              </w:rPr>
              <w:t xml:space="preserve">5.0</w:t>
            </w:r>
          </w:p>
        </w:tc>
      </w:tr>
    </w:tbl>
    <w:p>
      <w:pPr>
        <w:pStyle w:val="BodyText"/>
        <w:jc w:val="center"/>
        <w:keepNext/>
        <w:keepLines/>
        <w:widowControl w:val="1"/>
      </w:pPr>
      <w:r>
        <w:drawing>
          <wp:inline>
            <wp:extent cx="5943600" cy="41605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5943600" cy="41605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Representative frontal chest radiographs spanning the range of thoracic findings in the source datasets. The four conditions studied in this work, Cardiomegaly, Effusion, Edema, and Consolidation, are a subset of these findings; the selective mechanism makes an independent accept-or-defer decision for each of the four.</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w:t>
      </w:r>
      <w:r>
        <w:t xml:space="preserve"> </w:t>
      </w:r>
      <w:r>
        <w:rPr>
          <w:highlight w:val="yellow"/>
        </w:rPr>
        <w:t xml:space="preserve">In inter-source splitting, one or two complete source datasets are used for training while another source is held out entirely for evaluation, creating an out-of-distribution test scenario.</w:t>
      </w:r>
      <w:r>
        <w:t xml:space="preserve"> </w:t>
      </w:r>
      <w:r>
        <w:t xml:space="preserve">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[29]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whose published checkpoint was trained on a pooled corpus that includes NIH ChestX-ray14, MIMIC-CXR, CheXpert, and PadChest; consequently MIMIC-CXR and PadChest are in-distribution for this backbone, and the replication results in Section 4.1 establish that the selective benefit holds across sources rather than constituting an out-of-distribution test. The out-of-distribution claims (Section 4.3) instead rest on single-source leave-one-dataset-out models and on the independently trained weighted-BCE DenseNet-121, which follows the procedure above and is evaluated on a source it never trained on. For the primary evaluation the released weights are used and the rejection mechanism is applied post hoc to frozen predictions; the training hyperparameters above describe the independently trained weighted-BCE replication model, not the released backbone.</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the predicted probability</w:t>
      </w:r>
      <w:r>
        <w:t xml:space="preserve"> </w:t>
      </w:r>
      <m:oMath>
        <m:sSub>
          <m:e>
            <m:r>
              <m:t>p</m:t>
            </m:r>
          </m:e>
          <m:sub>
            <m:r>
              <m:t>i</m:t>
            </m:r>
          </m:sub>
        </m:sSub>
      </m:oMath>
      <w:r>
        <w:t xml:space="preserve"> </w:t>
      </w:r>
      <w:r>
        <w:t xml:space="preserve">of pathology</w:t>
      </w:r>
      <w:r>
        <w:t xml:space="preserve"> </w:t>
      </w:r>
      <m:oMath>
        <m:r>
          <m:t>i</m:t>
        </m:r>
      </m:oMath>
      <w:r>
        <w:t xml:space="preserve">,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sSub>
          <m:e>
            <m:r>
              <m:t>p</m:t>
            </m:r>
          </m:e>
          <m:sub>
            <m:r>
              <m:t>i</m:t>
            </m:r>
          </m:sub>
        </m:sSub>
        <m:r>
          <m:rPr>
            <m:sty m:val="p"/>
          </m:rPr>
          <m:t>→</m:t>
        </m:r>
        <m:r>
          <m:t>0</m:t>
        </m:r>
      </m:oMath>
      <w:r>
        <w:t xml:space="preserve"> </w:t>
      </w:r>
      <w:r>
        <w:t xml:space="preserve">or</w:t>
      </w:r>
      <w:r>
        <w:t xml:space="preserve"> </w:t>
      </w:r>
      <m:oMath>
        <m:sSub>
          <m:e>
            <m:r>
              <m:t>p</m:t>
            </m:r>
          </m:e>
          <m:sub>
            <m:r>
              <m:t>i</m:t>
            </m:r>
          </m:sub>
        </m:sSub>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green"/>
        </w:rPr>
        <w:t xml:space="preserve">The accept-defer boundary is therefore</w:t>
      </w:r>
      <w:r>
        <w:t xml:space="preserve"> </w:t>
      </w:r>
      <m:oMath>
        <m:r>
          <m:t>H</m:t>
        </m:r>
        <m:r>
          <m:rPr>
            <m:sty m:val="p"/>
          </m:rPr>
          <m:t>(</m:t>
        </m:r>
        <m:sSub>
          <m:e>
            <m:r>
              <m:t>p</m:t>
            </m:r>
          </m:e>
          <m:sub>
            <m:r>
              <m:t>i</m:t>
            </m:r>
          </m:sub>
        </m:sSub>
        <m:r>
          <m:rPr>
            <m:sty m:val="p"/>
          </m:rPr>
          <m:t>)</m:t>
        </m:r>
        <m:r>
          <m:rPr>
            <m:sty m:val="p"/>
          </m:rPr>
          <m:t>=</m:t>
        </m:r>
        <m:sSub>
          <m:e>
            <m:r>
              <m:t>τ</m:t>
            </m:r>
          </m:e>
          <m:sub>
            <m:r>
              <m:t>i</m:t>
            </m:r>
          </m:sub>
        </m:sSub>
      </m:oMath>
      <w:r>
        <w:rPr>
          <w:highlight w:val="green"/>
        </w:rPr>
        <w:t xml:space="preserve">, where</w:t>
      </w:r>
      <w:r>
        <w:t xml:space="preserve"> </w:t>
      </w:r>
      <m:oMath>
        <m:sSub>
          <m:e>
            <m:r>
              <m:t>τ</m:t>
            </m:r>
          </m:e>
          <m:sub>
            <m:r>
              <m:t>i</m:t>
            </m:r>
          </m:sub>
        </m:sSub>
      </m:oMath>
      <w:r>
        <w:t xml:space="preserve"> </w:t>
      </w:r>
      <w:r>
        <w:rPr>
          <w:highlight w:val="green"/>
        </w:rPr>
        <w:t xml:space="preserve">is the calibrated entropy threshold for pathology</w:t>
      </w:r>
      <w:r>
        <w:t xml:space="preserve"> </w:t>
      </w:r>
      <m:oMath>
        <m:r>
          <m:t>i</m:t>
        </m:r>
      </m:oMath>
      <w:r>
        <w:rPr>
          <w:highlight w:val="green"/>
        </w:rPr>
        <w:t xml:space="preserve">. This rejection threshold is distinct from the probability threshold used to convert</w:t>
      </w:r>
      <w:r>
        <w:t xml:space="preserve"> </w:t>
      </w:r>
      <m:oMath>
        <m:sSub>
          <m:e>
            <m:r>
              <m:t>p</m:t>
            </m:r>
          </m:e>
          <m:sub>
            <m:r>
              <m:t>i</m:t>
            </m:r>
          </m:sub>
        </m:sSub>
      </m:oMath>
      <w:r>
        <w:t xml:space="preserve"> </w:t>
      </w:r>
      <w:r>
        <w:rPr>
          <w:highlight w:val="green"/>
        </w:rPr>
        <w:t xml:space="preserve">into a binary label; the latter sets the decision boundary, while</w:t>
      </w:r>
      <w:r>
        <w:t xml:space="preserve"> </w:t>
      </w:r>
      <m:oMath>
        <m:sSub>
          <m:e>
            <m:r>
              <m:t>τ</m:t>
            </m:r>
          </m:e>
          <m:sub>
            <m:r>
              <m:t>i</m:t>
            </m:r>
          </m:sub>
        </m:sSub>
      </m:oMath>
      <w:r>
        <w:t xml:space="preserve"> </w:t>
      </w:r>
      <w:r>
        <w:rPr>
          <w:highlight w:val="green"/>
        </w:rPr>
        <w:t xml:space="preserve">sets how much uncertainty around that boundary is tolerated before a finding is deferred.</w:t>
      </w:r>
    </w:p>
    <w:p>
      <w:pPr>
        <w:pStyle w:val="BodyText"/>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p>
      <w:pPr>
        <w:pStyle w:val="BodyText"/>
        <w:jc w:val="both"/>
        <w:keepNext w:val="0"/>
        <w:keepLines w:val="0"/>
        <w:widowControl w:val="1"/>
      </w:pPr>
      <w:r>
        <w:rPr>
          <w:highlight w:val="green"/>
        </w:rPr>
        <w:t xml:space="preserve">Predictive entropy is computed on the backbone's raw per-pathology probability (the sigmoid output), with the operating-point normalization that the pretrained checkpoints apply by default disabled. That normalization rescales each pathology's output around a fixed training-source operating threshold, deforming the probability axis differently per pathology and per source, which distorts the entropy ranking used for deferral; the raw probability provides a consistent uncertainty axis across pathologies and datasets.</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(from 0.70 to 0.99)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18,000 PadChest frontal images.</w:t>
      </w:r>
      <w:r>
        <w:t xml:space="preserve"> </w:t>
      </w:r>
      <w:r>
        <w:t xml:space="preserve">The backbone attains per-pathology discrimination in the range of AUC 0.77 to 0.94 across the three evaluation sources.</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 these intervals are robust to patient-level clustering of the resampling, which shifts every interval bound by at most 0.002 and changes no support decision.</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pStyle w:val="BodyText"/>
        <w:jc w:val="center"/>
        <w:keepNext/>
        <w:keepLines/>
        <w:widowControl w:val="1"/>
      </w:pPr>
      <w:r>
        <w:drawing>
          <wp:inline>
            <wp:extent cx="5943600" cy="3602181"/>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5943600" cy="360218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Mean balanced error rate (averaged over the four pathologies) as a function of predictive-entropy quantile, for NIH ChestX-ray14, MIMIC-CXR, and PadChest. On all three datasets the balanced error rate is substantially higher at high predictive entropy than at low entropy, so deferring the highest-entropy predictions removes the most error-prone cases, which is what makes uncertainty-based deferral effective.</w:t>
      </w: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 Figure 4 traces the balanced accuracy across coverage for each pathology.</w:t>
      </w:r>
    </w:p>
    <w:p>
      <w:pPr>
        <w:pStyle w:val="TableCaption"/>
        <w:spacing w:before="28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0.844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+0.087 [0.058, 0.115]</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+0.075 [0.064, 0.087]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+0.085 [0.052, 0.123]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+0.067 [0.049, 0.086]</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pStyle w:val="BodyText"/>
        <w:jc w:val="both"/>
        <w:keepNext w:val="0"/>
        <w:keepLines w:val="0"/>
        <w:widowControl w:val="1"/>
      </w:pPr>
      <w:r>
        <w:rPr>
          <w:highlight w:val="green"/>
        </w:rPr>
        <w:t xml:space="preserve">On MIMIC-CXR (8,185 frontal images), the same calibrated-threshold analysis yields supported balanced-accuracy gains for all four pathologies (Cardiomegaly +0.071 [0.059, 0.086], Effusion +0.086 [0.073, 0.097], Edema +0.072 [0.058, 0.087], Consolidation +0.034 [0.014, 0.054];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0.91, Effusion 0.94, Consolidation 0.87), deferral improves balanced accuracy for all four pathologies (Cardiomegaly +0.080 [0.070, 0.091], Effusion +0.056 [0.043, 0.070], Edema +0.075 [0.058, 0.096], Consolidation +0.076 [0.051, 0.108]; 95% confidence intervals excluding zero), confirming the benefit on a third source; the corresponding out-of-distribution test, in which a single-source model is applied to PadChest, is reported in Section 4.3.</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all three evaluation sets (Figure 5).</w:t>
      </w:r>
    </w:p>
    <w:p>
      <w:pPr>
        <w:pStyle w:val="BodyText"/>
        <w:jc w:val="center"/>
        <w:keepNext/>
        <w:keepLines/>
        <w:widowControl w:val="1"/>
      </w:pPr>
      <w:r>
        <w:drawing>
          <wp:inline>
            <wp:extent cx="5943600" cy="1560194"/>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5943600" cy="156019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NIH ChestX-ray14, MIMIC-CXR, and PadChest evaluation sets. The with-rejection distribution exceeds the baseline for every pathology on all three datasets.</w:t>
      </w:r>
    </w:p>
    <w:p>
      <w:pPr>
        <w:pStyle w:val="BodyText"/>
        <w:jc w:val="both"/>
        <w:keepNext w:val="0"/>
        <w:keepLines w:val="0"/>
        <w:widowControl w:val="1"/>
      </w:pPr>
      <w:r>
        <w:rPr>
          <w:highlight w:val="green"/>
        </w:rPr>
        <w:t xml:space="preserve">To confirm that these gains come from the uncertainty signal rather than from evaluating on a smaller retained set, entropy-based deferral is compared against a random-rejection control and against alternative confidence scores on the same NIH evaluation split (Table 5). At a coverage of 0.70, random rejection leaves balanced accuracy essentially unchanged (within 0.001 of zero for all four pathologies), whereas entropy-based deferral recovers the gains of Table 2. Margin and maximum-probability rejection are rank-identical to entropy on a deterministic backbone and induce the same selective ordering, so entropy is reported as their representative. A deep-ensemble disagreement signal computed across the five public TorchXRayVision checkpoints does not exceed single-pass entropy at this operating point, so the single forward-pass rule is retained.</w:t>
      </w:r>
    </w:p>
    <w:p>
      <w:pPr>
        <w:pStyle w:val="TableCaption"/>
        <w:spacing w:before="280" w:after="60" w:line="240" w:lineRule="auto"/>
        <w:jc w:val="center"/>
        <w:keepNext/>
        <w:keepLines/>
        <w:widowControl w:val="1"/>
      </w:pPr>
      <w:r>
        <w:rPr>
          <w:b/>
          <w:i/>
          <w:highlight w:val="green"/>
        </w:rPr>
        <w:t>Table 5:</w:t>
      </w:r>
      <w:r>
        <w:rPr>
          <w:b w:val="0"/>
          <w:i/>
        </w:rPr>
        <w:t xml:space="preserve"> </w:t>
      </w:r>
      <w:r>
        <w:rPr>
          <w:b w:val="0"/>
          <w:i/>
          <w:highlight w:val="green"/>
        </w:rPr>
        <w:t>Balanced-accuracy change at a coverage of 0.70 under different rejection rules (NIH ChestX-ray14, same evaluation split as Table 2). Random rejection is a control; margin and maximum-probability rejection are rank-identical to entropy on a deterministic backbone.</w:t>
      </w:r>
    </w:p>
    <w:tbl>
      <w:tblPr>
        <w:tblStyle w:val="Table"/>
        <w:tblW w:type="pct" w:w="5000"/>
        <w:jc w:val="center"/>
        <w:tblLook w:firstRow="1" w:lastRow="0" w:firstColumn="0" w:lastColumn="0" w:noHBand="0" w:noVBand="0" w:val="0020"/>
        <w:tblCaption w:val="Table 5: Balanced-accuracy change at a coverage of 0.70 under different rejection rules (NIH ChestX-ray14, same evaluation split as Table 2). Random rejection is a control; margin and maximum-probability rejection are rank-identical to entropy on a deterministic backbon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Random rejection (control)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Entropy rejection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Margin / max-probability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rPr>
              <w:t xml:space="preserve">+0.085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+0.067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19"/>
                <w:highlight w:val="green"/>
              </w:rPr>
              <w:t xml:space="preserve">identical to entropy</w:t>
            </w:r>
          </w:p>
        </w:tc>
      </w:tr>
    </w:tbl>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 Area under the risk-coverage curve over the plotted coverage range (AURC; lower is better): Cardiomegaly 0.206, Effusion 0.180, Edema 0.207, Consolidation 0.239.</w:t>
      </w: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pStyle w:val="TableCaption"/>
        <w:spacing w:before="28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0.694</w:t>
            </w:r>
          </w:p>
        </w:tc>
      </w:tr>
    </w:tbl>
    <w:p>
      <w:pPr>
        <w:pStyle w:val="BodyText"/>
        <w:spacing w:before="240"/>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all four pathologies (Cardiomegaly +0.098 [0.004, 0.204], Effusion +0.081 [0.050, 0.109], Edema +0.138 [0.055, 0.225], Consolidation +0.063 [0.014, 0.109]). The robustness extends to a geographically independent source: applying the NIH-trained model to PadChest, a Spanish cohort never seen during training, deferral improves retained balanced accuracy for all four pathologies (Cardiomegaly +0.078 [0.065, 0.090], Effusion +0.074 [0.058, 0.088], Edema +0.045 [0.025, 0.067], Consolidation +0.059 [0.007, 0.107]), all with 95% confidence intervals excluding zero. Selective prediction therefore provides a safeguard precisely where it is most needed, on out-of-distribution inputs.</w:t>
      </w:r>
    </w:p>
    <w:p>
      <w:pPr>
        <w:pStyle w:val="TableCaption"/>
        <w:spacing w:before="28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+0.044 [0.033, 0.058]</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0.787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+0.071 [0.059, 0.081]</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0.695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+0.022 [0.010, 0.035]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0.668</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Georgia" w:hAnsi="Georgia"/>
                <w:sz w:val="19"/>
              </w:rPr>
              <w:t xml:space="preserve">+0.049 [0.022, 0.076]</w:t>
            </w:r>
          </w:p>
        </w:tc>
      </w:tr>
    </w:tbl>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 At a fixed calibration percentile the induced rejection rate is similar across pathologies (0.37 to 0.43 at the 0.70 percentile), reflecting the consistent raw-probability uncertainty axis on which entropy is computed.</w:t>
      </w:r>
    </w:p>
    <w:p>
      <w:pPr>
        <w:pStyle w:val="BodyText"/>
        <w:jc w:val="center"/>
        <w:keepNext/>
        <w:keepLines/>
        <w:widowControl w:val="1"/>
      </w:pPr>
      <w:r>
        <w:drawing>
          <wp:inline>
            <wp:extent cx="5943600" cy="2053243"/>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5943600" cy="2053243"/>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5943600" cy="418882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5943600" cy="418882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2"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for all four conditions on NIH ChestX-ray14 and MIMIC-CXR, on an independently trained model (including when applied cross-dataset), and under leave-one-dataset-out domain shift in both transfer directions, with every target pathology supported on all three datasets;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p>
    <w:p>
      <w:pPr>
        <w:pStyle w:val="BodyText"/>
        <w:jc w:val="both"/>
        <w:keepNext w:val="0"/>
        <w:keepLines w:val="0"/>
        <w:widowControl w:val="1"/>
      </w:pP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rPr>
          <w:highlight w:val="green"/>
        </w:rPr>
        <w:t xml:space="preserve">The operating point used throughout defers 30% of per-pathology predictions to recover balanced-accuracy gains of 0.07 to 0.09 on NIH ChestX-ray14; because the rejection rate is a tunable, per-pathology quantile (Figure 7), a deployment can trade reviewer workload against retained accuracy to match its capacity, deferring fewer cases where expert review is scarce and more where the cost of an error is high. A random-rejection control that defers the same fraction yields no such gain (Table 5), so the benefit reflects the uncertainty ranking rather than the reduced caseload.</w:t>
      </w:r>
    </w:p>
    <w:p>
      <w:pPr>
        <w:pStyle w:val="BodyText"/>
        <w:jc w:val="both"/>
        <w:keepNext w:val="0"/>
        <w:keepLines w:val="0"/>
        <w:widowControl w:val="1"/>
      </w:pPr>
      <w:r>
        <w:rPr>
          <w:highlight w:val="green"/>
        </w:rPr>
        <w:t xml:space="preserve">These findings extend the selective-classification framework, which formalizes the error-reject trade-off [17] and the risk-coverage view [19], to the multi-label medical-imaging setting, and they isolate a point specific to it: at a calibrated per-pathology operating point the reject option raises balanced accuracy even where it cannot raise a rank-based measure such as AUC, because abstention removes the near-boundary cases on which ranking depends. Whereas deep ensembles derive uncertainty from multiple forward passes [21], the single-pass entropy rule attains comparable selective behaviour here (Table 5), and the gains persist under the dataset shift known to degrade uncertainty estimates [32] and cross-site generalization [31].</w:t>
      </w:r>
      <w:r>
        <w:t xml:space="preserve"> </w:t>
      </w:r>
      <w:r>
        <w:t xml:space="preserve">Together these findings support uncertainty-aware selective prediction as a route to safer, more trustworthy AI-assisted diagnosis.</w:t>
      </w:r>
    </w:p>
    <w:p>
      <w:pPr>
        <w:pStyle w:val="BodyText"/>
        <w:jc w:val="both"/>
        <w:keepNext w:val="0"/>
        <w:keepLines w:val="0"/>
        <w:widowControl w:val="1"/>
      </w:pPr>
      <w:r>
        <w:rPr>
          <w:highlight w:val="green"/>
        </w:rPr>
        <w:t xml:space="preserve">The cross-source behaviour is consistent with the documented fragility of chest X-ray models across acquisition sites, where networks exploit hospital- and protocol-specific confounders [31], and with label-definition shift between sources rather than a shift in the images themselves [33]. The datasets differ in scanner and protocol, patient population (PadChest is a Spanish outpatient cohort, MIMIC-CXR an intensive-care population), and in projection mix. For Cardiomegaly this projection mix is decisive: the cardiothoracic ratio that defines cardiomegaly is geometrically magnified on anteroposterior and portable acquisitions (the heart lies farther from the detector), so a model trained on a predominantly posteroanterior cohort over-calls cardiomegaly on anteroposterior-heavy sources. Stratifying by view makes this explicit: within the posteroanterior stratum the NIH-trained model transfers to PadChest with AUC 0.88 and deferral still improves balanced accuracy (+0.10 at a coverage of 0.70), whereas on the anteroposterior and portable subset discrimination falls to AUC 0.66. This is a geometric property of acquisition, not a pixel artifact that intensity normalization or contrast windowing can remove; selective prediction is the appropriate response, abstaining on the projections where the cue is unreliable.</w:t>
      </w:r>
    </w:p>
    <w:bookmarkStart w:id="51" w:name="limitations"/>
    <w:p>
      <w:pPr>
        <w:pStyle w:val="Heading3"/>
        <w:keepNext/>
        <w:keepLines/>
        <w:widowControl w:val="1"/>
      </w:pPr>
      <w:r>
        <w:rPr>
          <w:highlight w:val="green"/>
        </w:rPr>
        <w:t xml:space="preserve">5.1 Limitations</w:t>
      </w:r>
    </w:p>
    <w:p>
      <w:pPr>
        <w:pStyle w:val="FirstParagraph"/>
        <w:jc w:val="both"/>
        <w:keepNext w:val="0"/>
        <w:keepLines w:val="0"/>
        <w:widowControl w:val="1"/>
      </w:pPr>
      <w:r>
        <w:rPr>
          <w:highlight w:val="green"/>
        </w:rPr>
        <w:t xml:space="preserve">The validated regime has five boundary conditions. First, the evaluation covers four thoracic findings on frontal views; additional findings and lateral views remain for future work. Second, the primary backbone is trained on a corpus that includes the MIMIC-CXR and PadChest evaluation sources (Section 3.3), so the cross-source generalization claims rest on the single-source leave-one-dataset-out models and the independently trained weighted-BCE model rather than on the primary backbone alone. Third, results are reported for the DenseNet-121 family; transfer to other backbones is established only through the independently trained model. Fourth, the labels are the public datasets' image-level annotations, which carry known noise, and the abstention benefit is measured against these labels rather than a prospective radiologist-adjudicated reference; a reader study quantifying the clinical value of the deferred-case workflow is a natural next step. Finally, subgroup fairness of the selective mechanism, that is, whether deferral rates and retained accuracy are equitable across patient subgroups [30], is not assessed here and is left for future work.</w:t>
      </w:r>
    </w:p>
    <w:bookmarkEnd w:id="51"/>
    <w:bookmarkEnd w:id="52"/>
    <w:bookmarkStart w:id="53"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The validated regime and its boundary conditions are detailed in Section 5.1.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3"/>
    <w:bookmarkStart w:id="54"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MIMIC-CXR-JPG: physionet.org/content/mimic-cxr-jpg/2.1.0/; NIH ChestX-ray14: nihcc.app.box.com/v/ChestXray-NIHCC; PadChest: bimcv.cipf.es/bimcv-projects/padchest/.</w:t>
      </w:r>
    </w:p>
    <w:bookmarkEnd w:id="54"/>
    <w:bookmarkStart w:id="55" w:name="code-availability"/>
    <w:p>
      <w:pPr>
        <w:pStyle w:val="Heading2"/>
        <w:keepNext/>
        <w:keepLines/>
        <w:widowControl w:val="1"/>
      </w:pPr>
      <w:r>
        <w:rPr>
          <w:highlight w:val="green"/>
        </w:rPr>
        <w:t xml:space="preserve">Code Availability</w:t>
      </w:r>
    </w:p>
    <w:p>
      <w:pPr>
        <w:pStyle w:val="FirstParagraph"/>
        <w:jc w:val="both"/>
        <w:keepNext w:val="0"/>
        <w:keepLines w:val="0"/>
        <w:widowControl w:val="1"/>
      </w:pPr>
      <w:r>
        <w:rPr>
          <w:highlight w:val="green"/>
        </w:rPr>
        <w:t xml:space="preserve">Code, configuration files, and frozen per-image predictions used to reproduce every table and figure in this paper are available at github.com/ApartsinProjects/cxr-selective-rejection-code.</w:t>
      </w:r>
    </w:p>
    <w:bookmarkEnd w:id="55"/>
    <w:bookmarkStart w:id="56"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6"/>
    <w:bookmarkStart w:id="57"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10.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11.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12.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13.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14.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15.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16.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17.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18.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19.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20.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21.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22.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23.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24.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25.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26.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27.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28.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29.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30.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31.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32.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p>
      <w:pPr>
        <w:pStyle w:val="ReferenceEntry"/>
        <w:numPr>
          <w:ilvl w:val="0"/>
          <w:numId w:val="1001"/>
        </w:numPr>
        <w:spacing w:after="60"/>
        <w:ind w:left="360" w:hanging="259"/>
        <w:jc w:val="left"/>
        <w:keepNext w:val="0"/>
        <w:keepLines w:val="0"/>
        <w:widowControl w:val="1"/>
      </w:pPr>
      <w:r>
        <w:rPr>
          <w:rFonts w:ascii="Georgia" w:hAnsi="Georgia"/>
          <w:sz w:val="20"/>
        </w:rPr>
        <w:t xml:space="preserve">33. </w:t>
      </w:r>
      <w:r>
        <w:rPr>
          <w:highlight w:val="green"/>
        </w:rPr>
        <w:t xml:space="preserve">Cohen, J. P., Hashir, M., Brooks, R., Bertrand, H. (2020). On the limits of cross-domain generalization in automated X-ray prediction.</w:t>
      </w:r>
      <w:r>
        <w:t xml:space="preserve"> </w:t>
      </w:r>
      <w:r>
        <w:rPr>
          <w:i/>
          <w:iCs/>
          <w:highlight w:val="green"/>
        </w:rPr>
        <w:t xml:space="preserve">Medical Imaging with Deep Learning (MIDL)</w:t>
      </w:r>
      <w:r>
        <w:rPr>
          <w:highlight w:val="green"/>
        </w:rPr>
        <w:t xml:space="preserve">, PMLR 121, 136-155. arXiv:2002.02497.</w:t>
      </w:r>
    </w:p>
    <w:bookmarkEnd w:id="57"/>
    <w:bookmarkEnd w:id="58"/>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2026-06-05T15:47:14Z</dcterms:created>
  <dcterms:modified xsi:type="dcterms:W3CDTF">2026-06-05T15:47:14Z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