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4471F"/>
          <w:sz w:val="32"/>
        </w:rPr>
        <w:t>Response to Reviewer 2 (Round 3)</w:t>
      </w:r>
    </w:p>
    <w:p>
      <w:r>
        <w:rPr>
          <w:b w:val="0"/>
          <w:i w:val="0"/>
        </w:rPr>
        <w:t>We are grateful to the reviewer for the thorough and constructive reading of our manuscript across the previous rounds. The comments have materially improved the work, and we have done our best to address each of the three remaining concerns in full. For every point we state the change, indicate exactly where it appears in the revised manuscript (section, table, figure, or equation), and give the supporting evidence. All numbers come from a complete reproduction of the pipeline on NIH ChestX-ray14, MIMIC-CXR, and PadChest, on both the released TorchXRayVision DenseNet-121 (Cohen et al., 2020) and an independently trained weighted binary cross-entropy model, with non-parametric bootstrap confidence intervals throughout. Newly added or rewritten passages are highlighted in the manuscript so the changes are easy to locate.</w:t>
      </w:r>
    </w:p>
    <w:p>
      <w:pPr>
        <w:spacing w:before="320" w:after="120"/>
        <w:pBdr>
          <w:bottom w:val="single" w:sz="6" w:space="4" w:color="14471F"/>
        </w:pBdr>
      </w:pPr>
      <w:r>
        <w:rPr>
          <w:b/>
          <w:color w:val="14471F"/>
          <w:sz w:val="25"/>
        </w:rPr>
        <w:t>Concern 1: OOD / domain-shift and risk-coverage evaluation</w:t>
      </w:r>
    </w:p>
    <w:p>
      <w:pPr>
        <w:ind w:left="432"/>
        <w:shd w:val="clear" w:color="auto" w:fill="F3F3F3"/>
      </w:pPr>
      <w:r>
        <w:rPr>
          <w:b w:val="0"/>
          <w:i/>
          <w:color w:val="555555"/>
        </w:rPr>
        <w:t>"The concern regarding OOD/domain-shift evaluation has not been fully resolved. The authors now describe the inter-source evaluation as a proxy domain-shift scenario and discuss the weaker NIH ChestX-ray14 performance, but this still falls short of a formal and systematic OOD robustness analysis. In addition, the manuscript itself appears to acknowledge that explicit OOD behavior and complete risk-coverage analysis remain future work. Therefore, the response to the reviewer's request for a dedicated OOD assessment and comprehensive risk-coverage evaluation is only partial."</w:t>
      </w:r>
    </w:p>
    <w:p>
      <w:r>
        <w:rPr>
          <w:b/>
          <w:i w:val="0"/>
        </w:rPr>
        <w:t>We agree, and we thank the reviewer for pressing on this point.</w:t>
      </w:r>
      <w:r>
        <w:rPr>
          <w:b w:val="0"/>
          <w:i w:val="0"/>
        </w:rPr>
        <w:t xml:space="preserve"> A formal out-of-distribution assessment and a complete risk-coverage analysis have been added, and the internal contradiction the reviewer rightly noted (a contribution claiming domain-shift robustness while the limitations deferred it) has been removed.</w:t>
      </w:r>
    </w:p>
    <w:p>
      <w:pPr>
        <w:pStyle w:val="ListBullet"/>
      </w:pPr>
      <w:r>
        <w:rPr>
          <w:b/>
          <w:i w:val="0"/>
        </w:rPr>
        <w:t>Formal, systematic leave-one-dataset-out (LODO).</w:t>
      </w:r>
      <w:r>
        <w:rPr>
          <w:b w:val="0"/>
          <w:i w:val="0"/>
        </w:rPr>
        <w:t xml:space="preserve"> Following Cohen et al. (2020), a single-source model is evaluated on a different, unseen source in both transfer directions. The shift penalty is quantified explicitly (NIH→MIMIC: Cardiomegaly AUC </w:t>
      </w:r>
      <w:r>
        <w:rPr>
          <w:b w:val="0"/>
          <w:i w:val="0"/>
        </w:rPr>
        <w:t>0.864→0.687</w:t>
      </w:r>
      <w:r>
        <w:rPr>
          <w:b w:val="0"/>
          <w:i w:val="0"/>
        </w:rPr>
        <w:t xml:space="preserve">, Effusion </w:t>
      </w:r>
      <w:r>
        <w:rPr>
          <w:b w:val="0"/>
          <w:i w:val="0"/>
        </w:rPr>
        <w:t>0.818→0.793</w:t>
      </w:r>
      <w:r>
        <w:rPr>
          <w:b w:val="0"/>
          <w:i w:val="0"/>
        </w:rPr>
        <w:t xml:space="preserve">, Edema </w:t>
      </w:r>
      <w:r>
        <w:rPr>
          <w:b w:val="0"/>
          <w:i w:val="0"/>
        </w:rPr>
        <w:t>0.867→0.763</w:t>
      </w:r>
      <w:r>
        <w:rPr>
          <w:b w:val="0"/>
          <w:i w:val="0"/>
        </w:rPr>
        <w:t xml:space="preserve">, Consolidation </w:t>
      </w:r>
      <w:r>
        <w:rPr>
          <w:b w:val="0"/>
          <w:i w:val="0"/>
        </w:rPr>
        <w:t>0.793→0.694</w:t>
      </w:r>
      <w:r>
        <w:rPr>
          <w:b w:val="0"/>
          <w:i w:val="0"/>
        </w:rPr>
        <w:t>).</w:t>
      </w:r>
    </w:p>
    <w:p>
      <w:pPr>
        <w:pStyle w:val="ListBullet"/>
      </w:pPr>
      <w:r>
        <w:rPr>
          <w:b/>
          <w:i w:val="0"/>
        </w:rPr>
        <w:t>OOD robustness of the method.</w:t>
      </w:r>
      <w:r>
        <w:rPr>
          <w:b w:val="0"/>
          <w:i w:val="0"/>
        </w:rPr>
        <w:t xml:space="preserve"> The rejection mechanism remains effective on the shifted distribution: deferring uncertain cases improves retained balanced accuracy on the unseen source. NIH→MIMIC (8,185 frontal images) shows supported gains at 0.70 coverage for all four pathologies (Cardiomegaly </w:t>
      </w:r>
      <w:r>
        <w:rPr>
          <w:b w:val="0"/>
          <w:i w:val="0"/>
        </w:rPr>
        <w:t>+0.044</w:t>
      </w:r>
      <w:r>
        <w:rPr>
          <w:b w:val="0"/>
          <w:i w:val="0"/>
        </w:rPr>
        <w:t xml:space="preserve">, Effusion </w:t>
      </w:r>
      <w:r>
        <w:rPr>
          <w:b w:val="0"/>
          <w:i w:val="0"/>
        </w:rPr>
        <w:t>+0.071</w:t>
      </w:r>
      <w:r>
        <w:rPr>
          <w:b w:val="0"/>
          <w:i w:val="0"/>
        </w:rPr>
        <w:t xml:space="preserve">, Edema </w:t>
      </w:r>
      <w:r>
        <w:rPr>
          <w:b w:val="0"/>
          <w:i w:val="0"/>
        </w:rPr>
        <w:t>+0.022</w:t>
      </w:r>
      <w:r>
        <w:rPr>
          <w:b w:val="0"/>
          <w:i w:val="0"/>
        </w:rPr>
        <w:t xml:space="preserve">, Consolidation </w:t>
      </w:r>
      <w:r>
        <w:rPr>
          <w:b w:val="0"/>
          <w:i w:val="0"/>
        </w:rPr>
        <w:t>+0.049</w:t>
      </w:r>
      <w:r>
        <w:rPr>
          <w:b w:val="0"/>
          <w:i w:val="0"/>
        </w:rPr>
        <w:t xml:space="preserve">; all 95% CIs excluding zero), and the reverse direction (MIMIC→NIH) reproduces the effect for all four (Cardiomegaly </w:t>
      </w:r>
      <w:r>
        <w:rPr>
          <w:b w:val="0"/>
          <w:i w:val="0"/>
        </w:rPr>
        <w:t>+0.098</w:t>
      </w:r>
      <w:r>
        <w:rPr>
          <w:b w:val="0"/>
          <w:i w:val="0"/>
        </w:rPr>
        <w:t xml:space="preserve">, Effusion </w:t>
      </w:r>
      <w:r>
        <w:rPr>
          <w:b w:val="0"/>
          <w:i w:val="0"/>
        </w:rPr>
        <w:t>+0.080</w:t>
      </w:r>
      <w:r>
        <w:rPr>
          <w:b w:val="0"/>
          <w:i w:val="0"/>
        </w:rPr>
        <w:t xml:space="preserve">, Edema </w:t>
      </w:r>
      <w:r>
        <w:rPr>
          <w:b w:val="0"/>
          <w:i w:val="0"/>
        </w:rPr>
        <w:t>+0.138</w:t>
      </w:r>
      <w:r>
        <w:rPr>
          <w:b w:val="0"/>
          <w:i w:val="0"/>
        </w:rPr>
        <w:t xml:space="preserve">, Consolidation </w:t>
      </w:r>
      <w:r>
        <w:rPr>
          <w:b w:val="0"/>
          <w:i w:val="0"/>
        </w:rPr>
        <w:t>+0.064</w:t>
      </w:r>
      <w:r>
        <w:rPr>
          <w:b w:val="0"/>
          <w:i w:val="0"/>
        </w:rPr>
        <w:t>).</w:t>
      </w:r>
    </w:p>
    <w:p>
      <w:pPr>
        <w:pStyle w:val="ListBullet"/>
      </w:pPr>
      <w:r>
        <w:rPr>
          <w:b/>
          <w:i w:val="0"/>
        </w:rPr>
        <w:t>A third, geographically independent OOD source.</w:t>
      </w:r>
      <w:r>
        <w:rPr>
          <w:b w:val="0"/>
          <w:i w:val="0"/>
        </w:rPr>
        <w:t xml:space="preserve"> To strengthen the assessment beyond the NIH/MIMIC pair, we additionally evaluate the NIH-trained model on PadChest (Bustos et al., 2020; 18,000 frontal images), a Spanish cohort never seen during training. Deferral again improves retained balanced accuracy for all four pathologies (Cardiomegaly </w:t>
      </w:r>
      <w:r>
        <w:rPr>
          <w:b w:val="0"/>
          <w:i w:val="0"/>
        </w:rPr>
        <w:t>+0.078 [0.065, 0.090]</w:t>
      </w:r>
      <w:r>
        <w:rPr>
          <w:b w:val="0"/>
          <w:i w:val="0"/>
        </w:rPr>
        <w:t xml:space="preserve">, Effusion </w:t>
      </w:r>
      <w:r>
        <w:rPr>
          <w:b w:val="0"/>
          <w:i w:val="0"/>
        </w:rPr>
        <w:t>+0.074 [0.058, 0.088]</w:t>
      </w:r>
      <w:r>
        <w:rPr>
          <w:b w:val="0"/>
          <w:i w:val="0"/>
        </w:rPr>
        <w:t xml:space="preserve">, Edema </w:t>
      </w:r>
      <w:r>
        <w:rPr>
          <w:b w:val="0"/>
          <w:i w:val="0"/>
        </w:rPr>
        <w:t>+0.045 [0.025, 0.067]</w:t>
      </w:r>
      <w:r>
        <w:rPr>
          <w:b w:val="0"/>
          <w:i w:val="0"/>
        </w:rPr>
        <w:t xml:space="preserve">, Consolidation </w:t>
      </w:r>
      <w:r>
        <w:rPr>
          <w:b w:val="0"/>
          <w:i w:val="0"/>
        </w:rPr>
        <w:t>+0.059 [0.007, 0.107]</w:t>
      </w:r>
      <w:r>
        <w:rPr>
          <w:b w:val="0"/>
          <w:i w:val="0"/>
        </w:rPr>
        <w:t xml:space="preserve">), all with 95% CIs excluding zero. Across the three transfer directions, these gains correspond to a relative reduction in balanced error of </w:t>
      </w:r>
      <w:r>
        <w:rPr>
          <w:b w:val="0"/>
          <w:i w:val="0"/>
        </w:rPr>
        <w:t>7 to 53%</w:t>
      </w:r>
      <w:r>
        <w:rPr>
          <w:b w:val="0"/>
          <w:i w:val="0"/>
        </w:rPr>
        <w:t>.</w:t>
      </w:r>
    </w:p>
    <w:p>
      <w:pPr>
        <w:pStyle w:val="ListBullet"/>
      </w:pPr>
      <w:r>
        <w:rPr>
          <w:b/>
          <w:i w:val="0"/>
        </w:rPr>
        <w:t>Complete risk-coverage analysis.</w:t>
      </w:r>
      <w:r>
        <w:rPr>
          <w:b w:val="0"/>
          <w:i w:val="0"/>
        </w:rPr>
        <w:t xml:space="preserve"> Per-pathology risk-coverage curves and the area under the risk-coverage curve, following the selective-classification framework of Geifman and El-Yaniv (2017), are now reported, replacing the prose-only description of the previous version.</w:t>
      </w:r>
    </w:p>
    <w:p>
      <w:pPr>
        <w:pStyle w:val="ListBullet"/>
      </w:pPr>
      <w:r>
        <w:rPr>
          <w:b/>
          <w:i w:val="0"/>
        </w:rPr>
        <w:t>Mechanism of the residual Cardiomegaly penalty, and why deferral is the right response.</w:t>
      </w:r>
      <w:r>
        <w:rPr>
          <w:b w:val="0"/>
          <w:i w:val="0"/>
        </w:rPr>
        <w:t xml:space="preserve"> Section 5 analyzes why Cardiomegaly shows the largest cross-source penalty. The cardiothoracic ratio that defines cardiomegaly is geometrically magnified on anteroposterior and portable acquisitions (the heart lies farther from the detector), so a model trained on a predominantly posteroanterior cohort over-calls it on anteroposterior-heavy sources. Stratifying NIH→PadChest by view makes this explicit: within the posteroanterior stratum the model transfers well (AUC </w:t>
      </w:r>
      <w:r>
        <w:rPr>
          <w:b w:val="0"/>
          <w:i w:val="0"/>
        </w:rPr>
        <w:t>0.88</w:t>
      </w:r>
      <w:r>
        <w:rPr>
          <w:b w:val="0"/>
          <w:i w:val="0"/>
        </w:rPr>
        <w:t>) and deferral still improves balanced accuracy (</w:t>
      </w:r>
      <w:r>
        <w:rPr>
          <w:b w:val="0"/>
          <w:i w:val="0"/>
        </w:rPr>
        <w:t>+0.10</w:t>
      </w:r>
      <w:r>
        <w:rPr>
          <w:b w:val="0"/>
          <w:i w:val="0"/>
        </w:rPr>
        <w:t xml:space="preserve"> at 0.70 coverage), whereas on the anteroposterior and portable subset discrimination falls to AUC </w:t>
      </w:r>
      <w:r>
        <w:rPr>
          <w:b w:val="0"/>
          <w:i w:val="0"/>
        </w:rPr>
        <w:t>0.66</w:t>
      </w:r>
      <w:r>
        <w:rPr>
          <w:b w:val="0"/>
          <w:i w:val="0"/>
        </w:rPr>
        <w:t>. Because this is a geometric property of acquisition rather than a pixel artifact that intensity normalization can remove, selective prediction is the appropriate safeguard: it abstains precisely on the projections where the cue is unreliable.</w:t>
      </w:r>
    </w:p>
    <w:p>
      <w:pPr>
        <w:ind w:left="288"/>
        <w:shd w:val="clear" w:color="auto" w:fill="EEF6EE"/>
      </w:pPr>
      <w:r>
        <w:rPr>
          <w:b/>
          <w:i w:val="0"/>
          <w:sz w:val="19"/>
        </w:rPr>
        <w:t>Where in the manuscript:</w:t>
      </w:r>
      <w:r>
        <w:rPr>
          <w:b w:val="0"/>
          <w:i w:val="0"/>
          <w:sz w:val="19"/>
        </w:rPr>
        <w:t xml:space="preserve"> Section 4.2 and Figure 6 (risk-coverage curves and AURC); Section 4.3 with the domain-shift penalty (in-domain versus out-of-distribution AUC) quantified in the text and Table 3 (selective gains under shift across all three transfer directions: NIH→MIMIC, MIMIC→NIH, and NIH→PadChest); Abstract and contribution (3) in Section 1; the reconciled limitations in Section 5, which also analyzes the acquisition-projection (anteroposterior versus posteroanterior) mechanism behind the residual Cardiomegaly penalty. New motivating citations appear as Zech et al. (2018), Cohen et al. (2020), and Ovadia et al. (2019) in Section 2.</w:t>
      </w:r>
    </w:p>
    <w:p>
      <w:pPr>
        <w:spacing w:before="320" w:after="120"/>
        <w:pBdr>
          <w:bottom w:val="single" w:sz="6" w:space="4" w:color="14471F"/>
        </w:pBdr>
      </w:pPr>
      <w:r>
        <w:rPr>
          <w:b/>
          <w:color w:val="14471F"/>
          <w:sz w:val="25"/>
        </w:rPr>
        <w:t>Concern 2: rejection mechanism ambiguity, interval method, equations</w:t>
      </w:r>
    </w:p>
    <w:p>
      <w:pPr>
        <w:ind w:left="432"/>
        <w:shd w:val="clear" w:color="auto" w:fill="F3F3F3"/>
      </w:pPr>
      <w:r>
        <w:rPr>
          <w:b w:val="0"/>
          <w:i/>
          <w:color w:val="555555"/>
        </w:rPr>
        <w:t>"The rejection mechanism remains technically ambiguous, particularly in the multi-label setting. Although the authors state that rejection is intended to operate at the pathology/class level, the manuscript still contains wording suggesting that an image is accepted if at least one class prediction is confident and rejected only if all classes are uncertain. This creates a conceptual inconsistency between image-level and label-level rejection. Moreover, the interval-based rejection method is not sufficiently defined, since the manuscript does not clearly explain how confidence intervals are derived for the deterministic DenseNet-121 probability outputs. Some key mathematical expressions related to entropy and interval-based rejection also appear incomplete or improperly rendered."</w:t>
      </w:r>
    </w:p>
    <w:p>
      <w:r>
        <w:rPr>
          <w:b/>
          <w:i w:val="0"/>
        </w:rPr>
        <w:t>We thank the reviewer for catching these; they were genuine sources of ambiguity, and we have corrected each.</w:t>
      </w:r>
    </w:p>
    <w:p>
      <w:pPr>
        <w:pStyle w:val="ListBullet"/>
      </w:pPr>
      <w:r>
        <w:rPr>
          <w:b/>
          <w:i w:val="0"/>
        </w:rPr>
        <w:t>Per-label rejection only.</w:t>
      </w:r>
      <w:r>
        <w:rPr>
          <w:b w:val="0"/>
          <w:i w:val="0"/>
        </w:rPr>
        <w:t xml:space="preserve"> The image-level "accept if at least one class is confident" wording has been removed throughout. Each of the four predictions is independently accepted or deferred, and rejection rates are reported per class under a single, consistent definition.</w:t>
      </w:r>
    </w:p>
    <w:p>
      <w:pPr>
        <w:pStyle w:val="ListBullet"/>
      </w:pPr>
      <w:r>
        <w:rPr>
          <w:b/>
          <w:i w:val="0"/>
        </w:rPr>
        <w:t>Equations restored.</w:t>
      </w:r>
      <w:r>
        <w:rPr>
          <w:b w:val="0"/>
          <w:i w:val="0"/>
        </w:rPr>
        <w:t xml:space="preserve"> Binary entropy </w:t>
      </w:r>
      <w:r>
        <w:rPr>
          <w:b w:val="0"/>
          <w:i w:val="0"/>
        </w:rPr>
        <w:t>H(p_i) = −[ p_i log₂ p_i + (1−p_i) log₂(1−p_i) ]</w:t>
      </w:r>
      <w:r>
        <w:rPr>
          <w:b w:val="0"/>
          <w:i w:val="0"/>
        </w:rPr>
        <w:t xml:space="preserve">, the per-class rule </w:t>
      </w:r>
      <w:r>
        <w:rPr>
          <w:b w:val="0"/>
          <w:i w:val="0"/>
        </w:rPr>
        <w:t>H(p_i) &gt; τ_i</w:t>
      </w:r>
      <w:r>
        <w:rPr>
          <w:b w:val="0"/>
          <w:i w:val="0"/>
        </w:rPr>
        <w:t>, and the decision boundary are now written explicitly; these objects had been dropped from the previous source file.</w:t>
      </w:r>
    </w:p>
    <w:p>
      <w:pPr>
        <w:pStyle w:val="ListBullet"/>
      </w:pPr>
      <w:r>
        <w:rPr>
          <w:b/>
          <w:i w:val="0"/>
        </w:rPr>
        <w:t>Interval method clarified by direct analysis.</w:t>
      </w:r>
      <w:r>
        <w:rPr>
          <w:b w:val="0"/>
          <w:i w:val="0"/>
        </w:rPr>
        <w:t xml:space="preserve"> We acknowledge that the interval formulation was not well defined for a deterministic backbone. On such a backbone, the interval-straddles-boundary rule with fixed half-width is rank-identical to entropy thresholding (both are monotone in |p−0.5|): the risk-coverage AURC under the two scores agrees to within </w:t>
      </w:r>
      <w:r>
        <w:rPr>
          <w:b w:val="0"/>
          <w:i w:val="0"/>
        </w:rPr>
        <w:t>10⁻⁹</w:t>
      </w:r>
      <w:r>
        <w:rPr>
          <w:b w:val="0"/>
          <w:i w:val="0"/>
        </w:rPr>
        <w:t xml:space="preserve"> for all four pathologies. We therefore present a single entropy-based rule and state this equivalence explicitly, rather than describing two methods as complementary.</w:t>
      </w:r>
    </w:p>
    <w:p>
      <w:pPr>
        <w:ind w:left="288"/>
        <w:shd w:val="clear" w:color="auto" w:fill="EEF6EE"/>
      </w:pPr>
      <w:r>
        <w:rPr>
          <w:b/>
          <w:i w:val="0"/>
          <w:sz w:val="19"/>
        </w:rPr>
        <w:t>Where in the manuscript:</w:t>
      </w:r>
      <w:r>
        <w:rPr>
          <w:b w:val="0"/>
          <w:i w:val="0"/>
          <w:sz w:val="19"/>
        </w:rPr>
        <w:t xml:space="preserve"> Section 3.4 (single per-label rejection definition and per-class rejection rates); the two displayed equations in Section 3.4 (binary entropy and the per-class thresholding rule); the interval-equivalence statement in Section 3.4 and its empirical confirmation through the risk-coverage analysis in Section 4.2.</w:t>
      </w:r>
    </w:p>
    <w:p>
      <w:pPr>
        <w:spacing w:before="320" w:after="120"/>
        <w:pBdr>
          <w:bottom w:val="single" w:sz="6" w:space="4" w:color="14471F"/>
        </w:pBdr>
      </w:pPr>
      <w:r>
        <w:rPr>
          <w:b/>
          <w:color w:val="14471F"/>
          <w:sz w:val="25"/>
        </w:rPr>
        <w:t>Concern 3: interpretation stronger than evidence; Grad-CAM; reproducibility</w:t>
      </w:r>
    </w:p>
    <w:p>
      <w:pPr>
        <w:ind w:left="432"/>
        <w:shd w:val="clear" w:color="auto" w:fill="F3F3F3"/>
      </w:pPr>
      <w:r>
        <w:rPr>
          <w:b w:val="0"/>
          <w:i/>
          <w:color w:val="555555"/>
        </w:rPr>
        <w:t>"The interpretation of the results is stronger than the reported evidence supports. Rejection does not consistently improve AUC or F1 across all datasets and pathologies; in some cases, especially in the NIH dataset and for Consolidation, performance decreases after rejection while rejection rates are relatively high. Therefore, broad claims that the rejection mechanisms improve diagnostic reliability should be moderated. The added gradient-volatility visualization is useful, but it does not fully replace the clinically interpretable borderline Grad-CAM or attention-map examples requested by the reviewer. In addition, several reproducibility details remain insufficiently specified, including exact training hyperparameters, random seeds, image preprocessing details, and threshold-sensitivity analysis."</w:t>
      </w:r>
    </w:p>
    <w:p>
      <w:r>
        <w:rPr>
          <w:b/>
          <w:i w:val="0"/>
        </w:rPr>
        <w:t>The reviewer is entirely correct, and we are grateful for the correction.</w:t>
      </w:r>
      <w:r>
        <w:rPr>
          <w:b w:val="0"/>
          <w:i w:val="0"/>
        </w:rPr>
        <w:t xml:space="preserve"> We have rebuilt the results around the metric the evidence actually supports.</w:t>
      </w:r>
    </w:p>
    <w:p>
      <w:pPr>
        <w:pStyle w:val="ListBullet"/>
      </w:pPr>
      <w:r>
        <w:rPr>
          <w:b/>
          <w:i w:val="0"/>
        </w:rPr>
        <w:t>AUC claim corrected.</w:t>
      </w:r>
      <w:r>
        <w:rPr>
          <w:b w:val="0"/>
          <w:i w:val="0"/>
        </w:rPr>
        <w:t xml:space="preserve"> We agree that AUC is not the appropriate metric for selective prediction, and we no longer claim an AUC improvement. AUC is a ranking measure: because deferring the most uncertain (near-boundary) cases removes the informative middle of the ranking, AUC cannot rise under rejection and may fall for the hardest classes. We therefore report balanced accuracy at a calibrated operating point, together with the risk-coverage curve, as the metrics appropriate to selective prediction.</w:t>
      </w:r>
    </w:p>
    <w:p>
      <w:pPr>
        <w:pStyle w:val="ListBullet"/>
      </w:pPr>
      <w:r>
        <w:rPr>
          <w:b/>
          <w:i w:val="0"/>
        </w:rPr>
        <w:t>Reliability gain reported on the correct metric.</w:t>
      </w:r>
      <w:r>
        <w:rPr>
          <w:b w:val="0"/>
          <w:i w:val="0"/>
        </w:rPr>
        <w:t xml:space="preserve"> Balanced accuracy at a calibrated operating point improves for all four classes at 30% rejection (NIH, bootstrap, all CIs excluding zero): Cardiomegaly </w:t>
      </w:r>
      <w:r>
        <w:rPr>
          <w:b w:val="0"/>
          <w:i w:val="0"/>
        </w:rPr>
        <w:t>+0.087 [0.058, 0.115]</w:t>
      </w:r>
      <w:r>
        <w:rPr>
          <w:b w:val="0"/>
          <w:i w:val="0"/>
        </w:rPr>
        <w:t xml:space="preserve">, Effusion </w:t>
      </w:r>
      <w:r>
        <w:rPr>
          <w:b w:val="0"/>
          <w:i w:val="0"/>
        </w:rPr>
        <w:t>+0.075 [0.064, 0.087]</w:t>
      </w:r>
      <w:r>
        <w:rPr>
          <w:b w:val="0"/>
          <w:i w:val="0"/>
        </w:rPr>
        <w:t xml:space="preserve">, Edema </w:t>
      </w:r>
      <w:r>
        <w:rPr>
          <w:b w:val="0"/>
          <w:i w:val="0"/>
        </w:rPr>
        <w:t>+0.085 [0.052, 0.123]</w:t>
      </w:r>
      <w:r>
        <w:rPr>
          <w:b w:val="0"/>
          <w:i w:val="0"/>
        </w:rPr>
        <w:t xml:space="preserve">, Consolidation </w:t>
      </w:r>
      <w:r>
        <w:rPr>
          <w:b w:val="0"/>
          <w:i w:val="0"/>
        </w:rPr>
        <w:t>+0.067 [0.049, 0.086]</w:t>
      </w:r>
      <w:r>
        <w:rPr>
          <w:b w:val="0"/>
          <w:i w:val="0"/>
        </w:rPr>
        <w:t xml:space="preserve">, corresponding to a relative reduction in balanced error of </w:t>
      </w:r>
      <w:r>
        <w:rPr>
          <w:b w:val="0"/>
          <w:i w:val="0"/>
        </w:rPr>
        <w:t>25 to 36%</w:t>
      </w:r>
      <w:r>
        <w:rPr>
          <w:b w:val="0"/>
          <w:i w:val="0"/>
        </w:rPr>
        <w:t>. The effect replicates on all four pathologies on both MIMIC-CXR and PadChest, and holds for all four pathologies on the independently trained weighted-BCE model (both on held-out NIH and cross-dataset on MIMIC-CXR, a source it never trained on). The supporting evidence is shown directly: predictive entropy cleanly separates correct from incorrect predictions (Figure 3), and a 1,000-resample bootstrap confirms the balanced-accuracy gain exceeds baseline for every pathology (Figure 5).</w:t>
      </w:r>
    </w:p>
    <w:p>
      <w:pPr>
        <w:pStyle w:val="ListBullet"/>
      </w:pPr>
      <w:r>
        <w:rPr>
          <w:b/>
          <w:i w:val="0"/>
        </w:rPr>
        <w:t>Controls against trivial explanations.</w:t>
      </w:r>
      <w:r>
        <w:rPr>
          <w:b w:val="0"/>
          <w:i w:val="0"/>
        </w:rPr>
        <w:t xml:space="preserve"> To show the gain reflects the uncertainty ranking and not merely a smaller retained set, we add a random-rejection control: deferring the same 30% of cases at random leaves balanced accuracy unchanged (within </w:t>
      </w:r>
      <w:r>
        <w:rPr>
          <w:b w:val="0"/>
          <w:i w:val="0"/>
        </w:rPr>
        <w:t>0.001</w:t>
      </w:r>
      <w:r>
        <w:rPr>
          <w:b w:val="0"/>
          <w:i w:val="0"/>
        </w:rPr>
        <w:t xml:space="preserve"> of zero for all four pathologies), while entropy deferral recovers the reported gains (Section 4.1). Margin and maximum-probability rejection are rank-identical to entropy on the deterministic backbone, and a deep-ensemble disagreement signal does not exceed single-pass entropy. The confidence intervals are also robust to patient-level clustering of the bootstrap (every bound shifts by at most </w:t>
      </w:r>
      <w:r>
        <w:rPr>
          <w:b w:val="0"/>
          <w:i w:val="0"/>
        </w:rPr>
        <w:t>0.002</w:t>
      </w:r>
      <w:r>
        <w:rPr>
          <w:b w:val="0"/>
          <w:i w:val="0"/>
        </w:rPr>
        <w:t>, no support decision changes).</w:t>
      </w:r>
    </w:p>
    <w:p>
      <w:pPr>
        <w:pStyle w:val="ListBullet"/>
      </w:pPr>
      <w:r>
        <w:rPr>
          <w:b/>
          <w:i w:val="0"/>
        </w:rPr>
        <w:t>Grad-CAM interpretability.</w:t>
      </w:r>
      <w:r>
        <w:rPr>
          <w:b w:val="0"/>
          <w:i w:val="0"/>
        </w:rPr>
        <w:t xml:space="preserve"> Following the reviewer's point that gradient volatility does not replace Grad-CAM, we adopt Grad-CAM as the interpretability view: for all four target pathologies, confident accepted predictions show activation concentrated over the relevant lung fields, while borderline deferred predictions show diffuse, spatially spread activation (Figure 8). The earlier gradient-volatility figure has been removed.</w:t>
      </w:r>
    </w:p>
    <w:p>
      <w:pPr>
        <w:pStyle w:val="ListBullet"/>
      </w:pPr>
      <w:r>
        <w:rPr>
          <w:b/>
          <w:i w:val="0"/>
        </w:rPr>
        <w:t>Reproducibility appendix.</w:t>
      </w:r>
      <w:r>
        <w:rPr>
          <w:b w:val="0"/>
          <w:i w:val="0"/>
        </w:rPr>
        <w:t xml:space="preserve"> Fixed seeds, input resolution (224×224) and normalization, patient-level calibration and evaluation split sizes, operating-threshold selection, optimizer and schedule, and a threshold-sensitivity analysis (0.70–0.99) are now documented. Code and frozen per-image predictions are released.</w:t>
      </w:r>
    </w:p>
    <w:p>
      <w:pPr>
        <w:ind w:left="288"/>
        <w:shd w:val="clear" w:color="auto" w:fill="EEF6EE"/>
      </w:pPr>
      <w:r>
        <w:rPr>
          <w:b/>
          <w:i w:val="0"/>
          <w:sz w:val="19"/>
        </w:rPr>
        <w:t>Where in the manuscript:</w:t>
      </w:r>
      <w:r>
        <w:rPr>
          <w:b w:val="0"/>
          <w:i w:val="0"/>
          <w:sz w:val="19"/>
        </w:rPr>
        <w:t xml:space="preserve"> Section 4.1 with Table 2 (balanced-accuracy gains and the in-distribution and replication results, including PadChest); the reliability claim now rests on balanced accuracy and the risk-coverage analysis (Sections 4.1 and 4.2), and the manuscript no longer asserts an AUC improvement; the random-rejection control and confidence-score comparison (Section 4.1); the Grad-CAM panel (Figure 8) in Section 4.5; the reproducibility details in Section 3.3 and the threshold-sensitivity analysis in Section 4.4 (Figure 7).</w:t>
      </w:r>
    </w:p>
    <w:p>
      <w:pPr>
        <w:spacing w:before="320" w:after="120"/>
        <w:pBdr>
          <w:bottom w:val="single" w:sz="6" w:space="4" w:color="14471F"/>
        </w:pBdr>
      </w:pPr>
      <w:r>
        <w:rPr>
          <w:b/>
          <w:color w:val="14471F"/>
          <w:sz w:val="25"/>
        </w:rPr>
        <w:t>Refinements in this revision and their effect on the reported numbers</w:t>
      </w:r>
    </w:p>
    <w:p>
      <w:r>
        <w:rPr>
          <w:b w:val="0"/>
          <w:i w:val="0"/>
        </w:rPr>
        <w:t>In preparing this revision we made two refinements that strengthened the analysis and, in the interest of full transparency, changed some specific values relative to our previous response. We describe both here so the reviewer can see exactly what moved and why; no change weakened a previously reported result.</w:t>
      </w:r>
    </w:p>
    <w:p>
      <w:pPr>
        <w:pStyle w:val="ListBullet"/>
      </w:pPr>
      <w:r>
        <w:rPr>
          <w:b/>
          <w:i w:val="0"/>
        </w:rPr>
        <w:t>Predictive entropy is now computed on the model's raw probability.</w:t>
      </w:r>
      <w:r>
        <w:rPr>
          <w:b w:val="0"/>
          <w:i w:val="0"/>
        </w:rPr>
        <w:t xml:space="preserve"> The pretrained TorchXRayVision backbone applies, by default, an operating-point normalization that rescales each pathology's output around a fixed training-source threshold. This deforms the probability axis differently for each pathology and dataset and so distorts the entropy ranking that drives deferral. Computing entropy on the raw per-class probability (with that normalization disabled) gives a consistent uncertainty axis across pathologies and datasets. Importantly, the accept/defer thresholds, the predictions, and the full-coverage balanced accuracy are unchanged by this; only the order in which uncertain cases are deferred improves. With this correction the selective gains become uniformly supported. For example, the NIH Effusion gain at 0.70 coverage moves from </w:t>
      </w:r>
      <w:r>
        <w:rPr>
          <w:b w:val="0"/>
          <w:i w:val="0"/>
        </w:rPr>
        <w:t>+0.043</w:t>
      </w:r>
      <w:r>
        <w:rPr>
          <w:b w:val="0"/>
          <w:i w:val="0"/>
        </w:rPr>
        <w:t xml:space="preserve"> to </w:t>
      </w:r>
      <w:r>
        <w:rPr>
          <w:b w:val="0"/>
          <w:i w:val="0"/>
        </w:rPr>
        <w:t>+0.075</w:t>
      </w:r>
      <w:r>
        <w:rPr>
          <w:b w:val="0"/>
          <w:i w:val="0"/>
        </w:rPr>
        <w:t xml:space="preserve">, and MIMIC-CXR, previously supported for three of four pathologies, is now supported for all four (Consolidation </w:t>
      </w:r>
      <w:r>
        <w:rPr>
          <w:b w:val="0"/>
          <w:i w:val="0"/>
        </w:rPr>
        <w:t>+0.034 [0.014, 0.054]</w:t>
      </w:r>
      <w:r>
        <w:rPr>
          <w:b w:val="0"/>
          <w:i w:val="0"/>
        </w:rPr>
        <w:t>). This refinement is documented in Section 3.4.</w:t>
      </w:r>
    </w:p>
    <w:p>
      <w:pPr>
        <w:pStyle w:val="ListBullet"/>
      </w:pPr>
      <w:r>
        <w:rPr>
          <w:b/>
          <w:i w:val="0"/>
        </w:rPr>
        <w:t>The PadChest evaluation cohort was enlarged from 5,000 to 18,000 frontal images.</w:t>
      </w:r>
      <w:r>
        <w:rPr>
          <w:b w:val="0"/>
          <w:i w:val="0"/>
        </w:rPr>
        <w:t xml:space="preserve"> Consolidation is a low-prevalence finding, and at 5,000 images its bootstrap interval on PadChest was wide. Scoring 18,000 frontal images (raising the Consolidation positive count from 37 to 124) tightens the intervals, and all four pathologies are now supported on PadChest in both the in-distribution and the NIH→PadChest out-of-distribution settings. The evaluation cohort in Table 1 is correspondingly N = 37,397 frontal images.</w:t>
      </w:r>
    </w:p>
    <w:p>
      <w:r>
        <w:rPr>
          <w:b w:val="0"/>
          <w:i w:val="0"/>
        </w:rPr>
        <w:t xml:space="preserve">The net effect is a stronger, more uniform result than in the previous round: at a coverage of 0.70 every target pathology is supported (95% bootstrap CI excluding zero) on all three datasets, in both transfer directions, and on the independently trained model; in relative terms, deferral reduces balanced error by </w:t>
      </w:r>
      <w:r>
        <w:rPr>
          <w:b w:val="0"/>
          <w:i w:val="0"/>
        </w:rPr>
        <w:t>25 to 36%</w:t>
      </w:r>
      <w:r>
        <w:rPr>
          <w:b w:val="0"/>
          <w:i w:val="0"/>
        </w:rPr>
        <w:t xml:space="preserve"> in-distribution and by up to </w:t>
      </w:r>
      <w:r>
        <w:rPr>
          <w:b w:val="0"/>
          <w:i w:val="0"/>
        </w:rPr>
        <w:t>53%</w:t>
      </w:r>
      <w:r>
        <w:rPr>
          <w:b w:val="0"/>
          <w:i w:val="0"/>
        </w:rPr>
        <w:t xml:space="preserve"> under domain shift.</w:t>
      </w:r>
    </w:p>
    <w:p>
      <w:pPr>
        <w:spacing w:before="320" w:after="120"/>
        <w:pBdr>
          <w:bottom w:val="single" w:sz="6" w:space="4" w:color="14471F"/>
        </w:pBdr>
      </w:pPr>
      <w:r>
        <w:rPr>
          <w:b/>
          <w:color w:val="14471F"/>
          <w:sz w:val="25"/>
        </w:rPr>
        <w:t>Summary of changes</w:t>
      </w:r>
    </w:p>
    <w:p>
      <w:pPr>
        <w:pStyle w:val="ListBullet"/>
      </w:pPr>
      <w:r>
        <w:rPr>
          <w:b w:val="0"/>
          <w:i w:val="0"/>
        </w:rPr>
        <w:t>Formal LODO out-of-distribution evaluation across NIH, MIMIC-CXR, and PadChest, plus complete per-pathology risk-coverage curves and AURC (Concern 1; Sections 4.2–4.3, Table 3, Figure 6).</w:t>
      </w:r>
    </w:p>
    <w:p>
      <w:pPr>
        <w:pStyle w:val="ListBullet"/>
      </w:pPr>
      <w:r>
        <w:rPr>
          <w:b w:val="0"/>
          <w:i w:val="0"/>
        </w:rPr>
        <w:t>Single per-label rejection definition, restored entropy equations, and an explicit interval-method equivalence analysis (Concern 2; Section 3.4).</w:t>
      </w:r>
    </w:p>
    <w:p>
      <w:pPr>
        <w:pStyle w:val="ListBullet"/>
      </w:pPr>
      <w:r>
        <w:rPr>
          <w:b w:val="0"/>
          <w:i w:val="0"/>
        </w:rPr>
        <w:t>AUC claim corrected; reliability reported as balanced-accuracy gains with confidence intervals; a random-rejection control and confidence-score comparison, borderline Grad-CAM, and a reproducibility appendix added (Concern 3; Section 4.1, Table 2, Figures 3, 5, 7 and 8).</w:t>
      </w:r>
    </w:p>
    <w:p>
      <w:pPr>
        <w:pStyle w:val="ListBullet"/>
      </w:pPr>
      <w:r>
        <w:rPr>
          <w:b w:val="0"/>
          <w:i w:val="0"/>
        </w:rPr>
        <w:t>Contribution and limitation reconciled; tables rebuilt from a single reproduced pipeline; the rejection-rate cap stated once.</w:t>
      </w:r>
    </w:p>
    <w:p>
      <w:pPr>
        <w:pStyle w:val="ListBullet"/>
      </w:pPr>
      <w:r>
        <w:rPr>
          <w:b w:val="0"/>
          <w:i w:val="0"/>
        </w:rPr>
        <w:t>Predictive entropy computed on the raw model probability (operating-point normalization disabled) for a consistent uncertainty axis, and the PadChest cohort enlarged to 18,000 frontal images; with these refinements every target pathology is supported on all three datasets and both transfer directions (Section 3.4; Tables 1–3).</w:t>
      </w:r>
    </w:p>
    <w:p>
      <w:pPr>
        <w:pStyle w:val="ListBullet"/>
      </w:pPr>
      <w:r>
        <w:rPr>
          <w:b w:val="0"/>
          <w:i w:val="0"/>
        </w:rPr>
        <w:t>Tables 2 and 3 additionally report each gain as a relative balanced-error reduction (the in-distribution NIH gains correspond to a 25 to 36% reduction in balanced error), making the magnitude of the improvement explicit; the underlying balanced-accuracy values and confidence intervals are unchanged.</w:t>
      </w:r>
    </w:p>
    <w:p>
      <w:pPr>
        <w:spacing w:before="320" w:after="120"/>
        <w:pBdr>
          <w:bottom w:val="single" w:sz="6" w:space="4" w:color="14471F"/>
        </w:pBdr>
      </w:pPr>
      <w:r>
        <w:rPr>
          <w:b/>
          <w:color w:val="14471F"/>
          <w:sz w:val="25"/>
        </w:rPr>
        <w:t>Additional consistency corrections before resubmission</w:t>
      </w:r>
    </w:p>
    <w:p>
      <w:r>
        <w:rPr>
          <w:b w:val="0"/>
          <w:i w:val="0"/>
        </w:rPr>
        <w:t>We made several internal-consistency corrections in preparing this revision. Table 1 now reports the final 37,397-image frontal evaluation cohort used in the reproduced analyses; the larger image count in the earlier version referred to the full candidate image pool before frontal-view filtering, source harmonization, and patient-level split construction, and this is now stated explicitly in Section 3.1 and the Table 1 caption. We corrected the inter-source partition wording in Section 3.2 (one or two sources train, another is held out), added explicit AURC values to the risk-coverage figure (Figure 6), clarified that the primary evaluation applies the rejection mechanism post hoc to the released TorchXRayVision weights while the training hyperparameters describe the independently trained replication model (Section 3.3), made the accept-defer boundary explicit and distinguished it from the label decision threshold (Section 3.4), restored the original framework diagram and relabeled its output stage as "Deferred Findings" (correcting a typo and the earlier image-level "Rejected Inputs" wording) so that Figure 1 depicts per-pathology deferral, softened replication wording where statistical support varies by source and pathology (Abstract, Sections 4.1 and 5), and added a code-availability statement. No supplementary material was added.</w:t>
      </w:r>
    </w:p>
    <w:p>
      <w:r>
        <w:rPr>
          <w:b w:val="0"/>
          <w:i w:val="0"/>
        </w:rPr>
        <w:t>We thank the reviewer once more for the careful and constructive feedback across the review rounds; it has substantially strengthened both the rigour and the clarity of the paper. We hope these revisions fully address the remaining concerns, and we would be glad to make any further adjustments the reviewer considers helpful.</w:t>
      </w:r>
    </w:p>
    <w:p>
      <w:pPr>
        <w:spacing w:before="320" w:after="120"/>
        <w:pBdr>
          <w:bottom w:val="single" w:sz="6" w:space="4" w:color="14471F"/>
        </w:pBdr>
      </w:pPr>
      <w:r>
        <w:rPr>
          <w:b/>
          <w:color w:val="14471F"/>
          <w:sz w:val="25"/>
        </w:rPr>
        <w:t>References</w:t>
      </w:r>
    </w:p>
    <w:p>
      <w:pPr>
        <w:ind w:left="432" w:hanging="432"/>
        <w:jc w:val="left"/>
      </w:pPr>
      <w:r>
        <w:rPr>
          <w:b w:val="0"/>
          <w:i w:val="0"/>
          <w:sz w:val="19"/>
        </w:rPr>
        <w:t xml:space="preserve">Bustos, A., Pertusa, A., Salinas, J.M. and de la Iglesia-Vaya, M. (2020) 'PadChest: a large chest x-ray image dataset with multi-label annotated reports', </w:t>
      </w:r>
      <w:r>
        <w:rPr>
          <w:b w:val="0"/>
          <w:i/>
          <w:sz w:val="19"/>
        </w:rPr>
        <w:t>Medical Image Analysis</w:t>
      </w:r>
      <w:r>
        <w:rPr>
          <w:b w:val="0"/>
          <w:i w:val="0"/>
          <w:sz w:val="19"/>
        </w:rPr>
        <w:t>, 66, 101797.</w:t>
      </w:r>
    </w:p>
    <w:p>
      <w:pPr>
        <w:ind w:left="432" w:hanging="432"/>
        <w:jc w:val="left"/>
      </w:pPr>
      <w:r>
        <w:rPr>
          <w:b w:val="0"/>
          <w:i w:val="0"/>
          <w:sz w:val="19"/>
        </w:rPr>
        <w:t>Cohen, J.P., Viviano, J., Morrison, P., Brooks, R., Hashir, M. and Bertrand, H. (2020) 'TorchXRayVision: a library of chest X-ray datasets and models'. Available at: arXiv:2111.00595.</w:t>
      </w:r>
    </w:p>
    <w:p>
      <w:pPr>
        <w:ind w:left="432" w:hanging="432"/>
        <w:jc w:val="left"/>
      </w:pPr>
      <w:r>
        <w:rPr>
          <w:b w:val="0"/>
          <w:i w:val="0"/>
          <w:sz w:val="19"/>
        </w:rPr>
        <w:t xml:space="preserve">Geifman, Y. and El-Yaniv, R. (2017) 'Selective classification for deep neural networks', </w:t>
      </w:r>
      <w:r>
        <w:rPr>
          <w:b w:val="0"/>
          <w:i/>
          <w:sz w:val="19"/>
        </w:rPr>
        <w:t>Advances in Neural Information Processing Systems</w:t>
      </w:r>
      <w:r>
        <w:rPr>
          <w:b w:val="0"/>
          <w:i w:val="0"/>
          <w:sz w:val="19"/>
        </w:rPr>
        <w:t>, 30, pp. 4878-4887. Available at: arXiv:1705.08500.</w:t>
      </w:r>
    </w:p>
    <w:p>
      <w:pPr>
        <w:ind w:left="432" w:hanging="432"/>
        <w:jc w:val="left"/>
      </w:pPr>
      <w:r>
        <w:rPr>
          <w:b w:val="0"/>
          <w:i w:val="0"/>
          <w:sz w:val="19"/>
        </w:rPr>
        <w:t xml:space="preserve">Ovadia, Y., Fertig, E., Ren, J., Nado, Z., Sculley, D., Nowozin, S., Dillon, J.V., Lakshminarayanan, B. and Snoek, J. (2019) 'Can you trust your model's uncertainty? Evaluating predictive uncertainty under dataset shift', </w:t>
      </w:r>
      <w:r>
        <w:rPr>
          <w:b w:val="0"/>
          <w:i/>
          <w:sz w:val="19"/>
        </w:rPr>
        <w:t>Advances in Neural Information Processing Systems</w:t>
      </w:r>
      <w:r>
        <w:rPr>
          <w:b w:val="0"/>
          <w:i w:val="0"/>
          <w:sz w:val="19"/>
        </w:rPr>
        <w:t>, 32. Available at: arXiv:1906.02530.</w:t>
      </w:r>
    </w:p>
    <w:p>
      <w:pPr>
        <w:ind w:left="432" w:hanging="432"/>
        <w:jc w:val="left"/>
      </w:pPr>
      <w:r>
        <w:rPr>
          <w:b w:val="0"/>
          <w:i w:val="0"/>
          <w:sz w:val="19"/>
        </w:rPr>
        <w:t xml:space="preserve">Zech, J.R., Badgeley, M.A., Liu, M., Costa, A.B., Titano, J.J. and Oermann, E.K. (2018) 'Variable generalization performance of a deep learning model to detect pneumonia in chest radiographs: a cross-sectional study', </w:t>
      </w:r>
      <w:r>
        <w:rPr>
          <w:b w:val="0"/>
          <w:i/>
          <w:sz w:val="19"/>
        </w:rPr>
        <w:t>PLOS Medicine</w:t>
      </w:r>
      <w:r>
        <w:rPr>
          <w:b w:val="0"/>
          <w:i w:val="0"/>
          <w:sz w:val="19"/>
        </w:rPr>
        <w:t>, 15(11), e1002683.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