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Amit Tzahar</w:t>
      </w:r>
      <w:r>
        <w:rPr>
          <w:rFonts w:ascii="Times New Roman" w:hAnsi="Times New Roman"/>
          <w:b w:val="0"/>
          <w:i/>
          <w:sz w:val="20"/>
          <w:vertAlign w:val="superscript"/>
        </w:rPr>
        <w:t xml:space="preserve">1</w:t>
      </w:r>
      <w:r>
        <w:rPr>
          <w:rFonts w:ascii="Times New Roman" w:hAnsi="Times New Roman"/>
          <w:b w:val="0"/>
          <w:i/>
          <w:sz w:val="20"/>
        </w:rPr>
        <w:t xml:space="preserve">, Alon Gottlib</w:t>
      </w:r>
      <w:r>
        <w:rPr>
          <w:rFonts w:ascii="Times New Roman" w:hAnsi="Times New Roman"/>
          <w:b w:val="0"/>
          <w:i/>
          <w:sz w:val="20"/>
          <w:vertAlign w:val="superscript"/>
        </w:rPr>
        <w:t xml:space="preserve">1</w:t>
      </w:r>
      <w:r>
        <w:rPr>
          <w:rFonts w:ascii="Times New Roman" w:hAnsi="Times New Roman"/>
          <w:b w:val="0"/>
          <w:i/>
          <w:sz w:val="20"/>
        </w:rPr>
        <w:t xml:space="preserve">, Tal Verber</w:t>
      </w:r>
      <w:r>
        <w:rPr>
          <w:rFonts w:ascii="Times New Roman" w:hAnsi="Times New Roman"/>
          <w:b w:val="0"/>
          <w:i/>
          <w:sz w:val="20"/>
          <w:vertAlign w:val="superscript"/>
        </w:rPr>
        <w:t xml:space="preserve">1</w:t>
      </w:r>
      <w:r>
        <w:rPr>
          <w:rFonts w:ascii="Times New Roman" w:hAnsi="Times New Roman"/>
          <w:b w:val="0"/>
          <w:i/>
          <w:sz w:val="20"/>
        </w:rPr>
        <w:t xml:space="preserve">, Ravit Shagan Damti</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with gains of 0.04 to 0.09 at a coverage of 0.70 on NIH ChestX-ray14 (95% confidence intervals excluding zero), and the improvement replicates on MIMIC-CXR, on the geographically independent PadChest cohort, and on an independently trained model. A leave-one-dataset-out evaluation shows that, although domain shift lowers discrimination, deferral improves retained balanced accuracy on the unseen source in both transfer directions and on PadChest, a geographically distinct cohort never seen during training.</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[10], CheXpert [5], MIMIC-CXR [11], and PadChest [12]; we adopt this backbone and augment it with a rejection mechanism.</w:t>
      </w:r>
      <w:r>
        <w:t xml:space="preserve"> </w:t>
      </w:r>
      <w:r>
        <w:rPr>
          <w:highlight w:val="green"/>
        </w:rPr>
        <w:t xml:space="preserve">Cross-domain generalization in this setting is known to be fragile: Zech et al. [32] show that models can exploit hospital-specific confounders and degrade across acquisition sites, and Cohen et al. [9] attribute much of the cross-dataset gap to label shift. Ovadia et al. [33]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[13] and machine learning [14] shows that increased uncertainty leads to greater sensitivity to small perturbations, often indicating operation near a decision boundary. Such instability motivates analyzing perturbation responses as a diagnostic tool [15] and is frequently leveraged in active learning [16],[17], where uncertain samples are prioritized for annotation. Selective classification, the reject option, allows a model to abstain on uncertain inputs to reduce errors. Chow [18] formalized the error-reject trade-off, and Cortes et al. [19] developed frameworks for learning with a reject option. For deep networks, Geifman and El-Yaniv [20] introduced a risk-coverage framework that thresholds the maximal softmax response to guarantee a user-specified error rate, and proposed SelectiveNet [21], which optimizes the accuracy-coverage trade-off during training. Lakshminarayanan et al. [22] showed that deep ensembles provide high-quality uncertainty estimates. Fisch et al. [23] train a selector for calibrated selective classification; Cattelan and Silva [24] propose a logit normalization that improves confidence-based rejection; and Rabanser et al. [25] reject inputs whose predictions flip during training.</w:t>
      </w:r>
      <w:r>
        <w:t xml:space="preserve"> </w:t>
      </w:r>
      <w:r>
        <w:rPr>
          <w:highlight w:val="green"/>
        </w:rPr>
        <w:t xml:space="preserve">The risk-coverage curve and its area introduced in this line of work [20]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[26] emphasize that machine learning systems in healthcare should be able to say "I do not know" for high-uncertainty cases, and survey abstention methods. Faghani et al. [27] outline emerging trends in uncertainty quantification for medical imaging, noting that an uncertainty measure allows experts to re-evaluate doubtful cases. In chest radiography specifically, Whata et al. [28] developed a Bayesian CNN that quantifies predictive uncertainty for multi-class classification, and Das et al. [29]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w:t>
      </w:r>
    </w:p>
    <w:p>
      <w:pPr>
        <w:pStyle w:val="TableCaption"/>
        <w:spacing w:before="280" w:after="60" w:line="240" w:lineRule="auto"/>
        <w:jc w:val="center"/>
        <w:keepNext/>
        <w:keepLines/>
        <w:widowControl w:val="1"/>
      </w:pPr>
      <w:r>
        <w:rPr>
          <w:b/>
          <w:i/>
          <w:highlight w:val="yellow"/>
        </w:rPr>
        <w:t>Table 1:</w:t>
      </w:r>
      <w:r>
        <w:rPr>
          <w:b w:val="0"/>
          <w:i/>
        </w:rPr>
        <w:t xml:space="preserve"> </w:t>
      </w:r>
      <w:r>
        <w:rPr>
          <w:b w:val="0"/>
          <w:i/>
          <w:highlight w:val="yellow"/>
        </w:rPr>
        <w:t>Class distribution of the evaluation data across the three sources (NIH ChestX-ray14, MIMIC-CXR, and PadChest; N = 24,397 frontal images), reported as positive-label counts.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evaluation data across the three sources (NIH ChestX-ray14, MIMIC-CXR, and PadChest; N = 24,397 frontal images), reported as positive-label counts.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2284</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3608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14.8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1255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959</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3.9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1661</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6.8</w:t>
            </w:r>
          </w:p>
        </w:tc>
      </w:tr>
    </w:tbl>
    <w:p>
      <w:pPr>
        <w:pStyle w:val="BodyText"/>
        <w:jc w:val="center"/>
        <w:keepNext/>
        <w:keepLines/>
        <w:widowControl w:val="1"/>
      </w:pPr>
      <w:r>
        <w:drawing>
          <wp:inline>
            <wp:extent cx="5943600" cy="41605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Examples of chest X-ray images with their associated pathology labels. The figure displays representative frontal chest radiographs corresponding to various thoracic conditions, including Cardiomegaly, Consolidation, Edema, and Effusion, which are among the four pathologies studied in this work.</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 In inter-source splitting, two or three complete datasets are used for training while the remaining dataset is held out entirely for validation, creating an out-of-distribution test scenario. 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[30]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[9],[31].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to verify that the findings are not specific to that backbone, an independently trained weighted-BCE DenseNet-121 following the procedure above is also evaluated (Section 4.1).</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a predicted probability</w:t>
      </w:r>
      <w:r>
        <w:t xml:space="preserve"> </w:t>
      </w:r>
      <m:oMath>
        <m:r>
          <m:t>p</m:t>
        </m:r>
      </m:oMath>
      <w:r>
        <w:t xml:space="preserve"> </w:t>
      </w:r>
      <w:r>
        <w:t xml:space="preserve">of a given pathology, the binary entropy is</w:t>
      </w:r>
    </w:p>
    <w:p>
      <w:pPr>
        <w:pStyle w:val="BodyText"/>
      </w:pPr>
      <m:oMathPara>
        <m:oMathParaPr>
          <m:jc m:val="center"/>
        </m:oMathParaPr>
        <m:oMath>
          <m:r>
            <m:t>H</m:t>
          </m:r>
          <m:r>
            <m:rPr>
              <m:sty m:val="p"/>
            </m:rPr>
            <m:t>(</m:t>
          </m:r>
          <m:r>
            <m:t>p</m:t>
          </m:r>
          <m:r>
            <m:rPr>
              <m:sty m:val="p"/>
            </m:rPr>
            <m:t>)</m:t>
          </m:r>
          <m:r>
            <m:rPr>
              <m:sty m:val="p"/>
            </m:rPr>
            <m:t>=</m:t>
          </m:r>
          <m:r>
            <m:rPr>
              <m:sty m:val="p"/>
            </m:rPr>
            <m:t>−</m:t>
          </m:r>
          <m:r>
            <m:t> </m:t>
          </m:r>
          <m:r>
            <m:t>p</m:t>
          </m:r>
          <m:sSub>
            <m:e>
              <m:r>
                <m:rPr>
                  <m:sty m:val="p"/>
                </m:rPr>
                <m:t>log</m:t>
              </m:r>
            </m:e>
            <m:sub>
              <m:r>
                <m:t>2</m:t>
              </m:r>
            </m:sub>
          </m:sSub>
          <m:r>
            <m:t>p</m:t>
          </m:r>
          <m:r>
            <m:rPr>
              <m:sty m:val="p"/>
            </m:rPr>
            <m:t>−</m:t>
          </m:r>
          <m:r>
            <m:rPr>
              <m:sty m:val="p"/>
            </m:rPr>
            <m:t>(</m:t>
          </m:r>
          <m:r>
            <m:t>1</m:t>
          </m:r>
          <m:r>
            <m:rPr>
              <m:sty m:val="p"/>
            </m:rPr>
            <m:t>−</m:t>
          </m:r>
          <m:r>
            <m:t>p</m:t>
          </m:r>
          <m:r>
            <m:rPr>
              <m:sty m:val="p"/>
            </m:rPr>
            <m:t>)</m:t>
          </m:r>
          <m:sSub>
            <m:e>
              <m:r>
                <m:rPr>
                  <m:sty m:val="p"/>
                </m:rPr>
                <m:t>log</m:t>
              </m:r>
            </m:e>
            <m:sub>
              <m:r>
                <m:t>2</m:t>
              </m:r>
            </m:sub>
          </m:sSub>
          <m:r>
            <m:rPr>
              <m:sty m:val="p"/>
            </m:rPr>
            <m:t>(</m:t>
          </m:r>
          <m:r>
            <m:t>1</m:t>
          </m:r>
          <m:r>
            <m:rPr>
              <m:sty m:val="p"/>
            </m:rPr>
            <m:t>−</m:t>
          </m:r>
          <m:r>
            <m:t>p</m:t>
          </m:r>
          <m:r>
            <m:rPr>
              <m:sty m:val="p"/>
            </m:rPr>
            <m:t>)</m:t>
          </m:r>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r>
          <m:t>p</m:t>
        </m:r>
        <m:r>
          <m:rPr>
            <m:sty m:val="p"/>
          </m:rPr>
          <m:t>→</m:t>
        </m:r>
        <m:r>
          <m:t>0</m:t>
        </m:r>
      </m:oMath>
      <w:r>
        <w:t xml:space="preserve"> </w:t>
      </w:r>
      <w:r>
        <w:t xml:space="preserve">or</w:t>
      </w:r>
      <w:r>
        <w:t xml:space="preserve"> </w:t>
      </w:r>
      <m:oMath>
        <m:r>
          <m:t>p</m:t>
        </m:r>
        <m:r>
          <m:rPr>
            <m:sty m:val="p"/>
          </m:rPr>
          <m:t>→</m:t>
        </m:r>
        <m:r>
          <m:t>1</m:t>
        </m:r>
      </m:oMath>
      <w:r>
        <w:t xml:space="preserve">. A pathology prediction is rejected when its entropy exceeds a calibrated threshold</w:t>
      </w:r>
      <w:r>
        <w:t xml:space="preserve"> </w:t>
      </w:r>
      <m:oMath>
        <m:sSub>
          <m:e>
            <m:r>
              <m:t>τ</m:t>
            </m:r>
          </m:e>
          <m:sub>
            <m:r>
              <m:t>c</m:t>
            </m:r>
          </m:sub>
        </m:sSub>
      </m:oMath>
      <w:r>
        <w:t xml:space="preserve">,</w:t>
      </w:r>
    </w:p>
    <w:p>
      <w:pPr>
        <w:pStyle w:val="BodyText"/>
      </w:pPr>
      <m:oMathPara>
        <m:oMathParaPr>
          <m:jc m:val="center"/>
        </m:oMathParaPr>
        <m:oMath>
          <m:r>
            <m:rPr>
              <m:nor/>
              <m:sty m:val="p"/>
            </m:rPr>
            <m:t>reject pathology </m:t>
          </m:r>
          <m:r>
            <m:t>c</m:t>
          </m:r>
          <m:r>
            <m:rPr>
              <m:sty m:val="p"/>
            </m:rPr>
            <m:t>⇔</m:t>
          </m:r>
          <m:r>
            <m:t>H</m:t>
          </m:r>
          <m:r>
            <m:rPr>
              <m:sty m:val="p"/>
            </m:rPr>
            <m:t>(</m:t>
          </m:r>
          <m:sSub>
            <m:e>
              <m:r>
                <m:t>p</m:t>
              </m:r>
            </m:e>
            <m:sub>
              <m:r>
                <m:t>c</m:t>
              </m:r>
            </m:sub>
          </m:sSub>
          <m:r>
            <m:rPr>
              <m:sty m:val="p"/>
            </m:rPr>
            <m:t>)</m:t>
          </m:r>
          <m:r>
            <m:rPr>
              <m:sty m:val="p"/>
            </m:rPr>
            <m:t>&gt;</m:t>
          </m:r>
          <m:sSub>
            <m:e>
              <m:r>
                <m:t>τ</m:t>
              </m:r>
            </m:e>
            <m:sub>
              <m:r>
                <m:t>c</m:t>
              </m:r>
            </m:sub>
          </m:sSub>
          <m:r>
            <m:rPr>
              <m:sty m:val="p"/>
            </m:rPr>
            <m:t>.</m:t>
          </m:r>
        </m:oMath>
      </m:oMathPara>
    </w:p>
    <w:p>
      <w:pPr>
        <w:pStyle w:val="FirstParagraph"/>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(for example, 75% to 95%) and compute either a class-specific or a global threshold corresponding to the selected quantile.</w:t>
      </w:r>
      <w:r>
        <w:t xml:space="preserve"> </w:t>
      </w:r>
      <w:r>
        <w:rPr>
          <w:highlight w:val="green"/>
        </w:rPr>
        <w:t xml:space="preserve">A threshold-sensitivity analysis (Figure 5)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47"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5,000 PadChest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w:t>
      </w:r>
    </w:p>
    <w:bookmarkStart w:id="30"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w:t>
      </w:r>
    </w:p>
    <w:p>
      <w:pPr>
        <w:pStyle w:val="TableCaption"/>
        <w:spacing w:before="28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+0.082 [0.056, 0.113]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0.822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+0.043 [0.029, 0.060]</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0.841</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+0.086 [0.054, 0.125]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0.807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+0.076 [0.057, 0.095]</w:t>
            </w:r>
          </w:p>
        </w:tc>
      </w:tr>
    </w:tbl>
    <w:p>
      <w:pPr>
        <w:pStyle w:val="BodyText"/>
        <w:jc w:val="center"/>
        <w:keepNext/>
        <w:keepLines/>
        <w:widowControl w:val="1"/>
      </w:pPr>
      <w:r>
        <w:drawing>
          <wp:inline>
            <wp:extent cx="5852160" cy="3474720"/>
            <wp:effectExtent b="0" l="0" r="0" t="0"/>
            <wp:docPr descr="selective balanced accuracy vs coverage" title="" id="28" name="Picture"/>
            <a:graphic>
              <a:graphicData uri="http://schemas.openxmlformats.org/drawingml/2006/picture">
                <pic:pic>
                  <pic:nvPicPr>
                    <pic:cNvPr descr="assets/selective_bacc_nih22k.png" id="29" name="Picture"/>
                    <pic:cNvPicPr>
                      <a:picLocks noChangeArrowheads="1" noChangeAspect="1"/>
                    </pic:cNvPicPr>
                  </pic:nvPicPr>
                  <pic:blipFill>
                    <a:blip r:embed="rId2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green"/>
        </w:rPr>
        <w:t xml:space="preserve">On MIMIC-CXR (8,185 frontal images), the same calibrated-threshold analysis yields supported balanced-accuracy gains for three of the four pathologies (Cardiomegaly +0.073 [0.061, 0.088], Effusion +0.088 [0.076, 0.100], Edema +0.060 [0.043, 0.076];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0.90, Effusion 0.96, Consolidation 0.92), deferral improves Cardiomegaly balanced accuracy from 0.81 to 0.90 at a coverage of 0.70 (+0.086 [0.062, 0.110]; 95% confidence interval excluding zero), confirming the benefit on a third, geographically independent cohort.</w:t>
      </w:r>
    </w:p>
    <w:bookmarkEnd w:id="30"/>
    <w:bookmarkStart w:id="34"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4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2" name="Picture"/>
            <a:graphic>
              <a:graphicData uri="http://schemas.openxmlformats.org/drawingml/2006/picture">
                <pic:pic>
                  <pic:nvPicPr>
                    <pic:cNvPr descr="assets/e1_risk_coverage_nih22k.png" id="33" name="Picture"/>
                    <pic:cNvPicPr>
                      <a:picLocks noChangeArrowheads="1" noChangeAspect="1"/>
                    </pic:cNvPicPr>
                  </pic:nvPicPr>
                  <pic:blipFill>
                    <a:blip r:embed="rId31"/>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Risk-coverage curves per pathology. The retained-prediction performance is traced against coverage as the entropy threshold varies.</w:t>
      </w:r>
    </w:p>
    <w:bookmarkEnd w:id="34"/>
    <w:bookmarkStart w:id="35"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pStyle w:val="TableCaption"/>
        <w:spacing w:before="28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0.694</w:t>
            </w:r>
          </w:p>
        </w:tc>
      </w:tr>
    </w:tbl>
    <w:p>
      <w:pPr>
        <w:pStyle w:val="BodyText"/>
        <w:spacing w:before="240"/>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Effusion (+0.083 [0.053, 0.114]), Edema (+0.109 [0.044, 0.190]), and Consolidation (+0.069 [0.028, 0.118]). The robustness extends to a geographically independent source: applying the NIH-trained model to PadChest, a Spanish cohort never seen during training, deferral improves retained balanced accuracy for Effusion (+0.054 [0.010, 0.091]), Edema (+0.090 [0.058, 0.110]), and Consolidation (+0.081 [0.059, 0.095]), all with 95% confidence intervals excluding zero. Selective prediction therefore provides a safeguard precisely where it is most needed, on out-of-distribution inputs.</w:t>
      </w:r>
    </w:p>
    <w:p>
      <w:pPr>
        <w:pStyle w:val="TableCaption"/>
        <w:spacing w:before="28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0.672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+0.040 [0.028, 0.053]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0.789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+0.073 [0.062, 0.084]</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+0.083 [0.076, 0.088]</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0.671</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+0.052 [0.030, 0.084]</w:t>
            </w:r>
          </w:p>
        </w:tc>
      </w:tr>
    </w:tbl>
    <w:bookmarkEnd w:id="35"/>
    <w:bookmarkStart w:id="39"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5 traces the rejection rate and retained performance across calibration percentiles. Selective performance varies smoothly with the calibration percentile, so the accuracy-coverage trade-off is a controllable design parameter that can be set to a clinical risk tolerance.</w:t>
      </w:r>
    </w:p>
    <w:p>
      <w:pPr>
        <w:pStyle w:val="BodyText"/>
        <w:jc w:val="center"/>
        <w:keepNext/>
        <w:keepLines/>
        <w:widowControl w:val="1"/>
      </w:pPr>
      <w:r>
        <w:drawing>
          <wp:inline>
            <wp:extent cx="5943600" cy="2053243"/>
            <wp:effectExtent b="0" l="0" r="0" t="0"/>
            <wp:docPr descr="threshold sensitivity" title="" id="37" name="Picture"/>
            <a:graphic>
              <a:graphicData uri="http://schemas.openxmlformats.org/drawingml/2006/picture">
                <pic:pic>
                  <pic:nvPicPr>
                    <pic:cNvPr descr="assets/e4_threshold_sweep_nih22k.png" id="38" name="Picture"/>
                    <pic:cNvPicPr>
                      <a:picLocks noChangeArrowheads="1" noChangeAspect="1"/>
                    </pic:cNvPicPr>
                  </pic:nvPicPr>
                  <pic:blipFill>
                    <a:blip r:embed="rId36"/>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Threshold sensitivity. Rejection rate and retained performance as a function of the calibration percentile.</w:t>
      </w:r>
    </w:p>
    <w:bookmarkEnd w:id="39"/>
    <w:bookmarkStart w:id="46"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t xml:space="preserve">The decision regions of accepted and deferred predictions can be examined directly. Input-gradient sensitivity provides one view: we compute the saliency map of a prediction, recompute it after low-variance Gaussian perturbation of the input, and measure stability by the signal-to-noise ratio between the two maps. Confident accepted predictions yield stable saliency maps, whereas borderline deferred predictions show substantial gradient change under the same perturbation (Figure 6), indicating an unstable decision surface near the boundary.</w:t>
      </w:r>
    </w:p>
    <w:p>
      <w:pPr>
        <w:pStyle w:val="BodyText"/>
        <w:jc w:val="center"/>
        <w:keepNext/>
        <w:keepLines/>
        <w:widowControl w:val="1"/>
      </w:pPr>
      <w:r>
        <w:drawing>
          <wp:inline>
            <wp:extent cx="4632960" cy="6949440"/>
            <wp:effectExtent b="0" l="0" r="0" t="0"/>
            <wp:docPr descr="gradient volatility accepted vs rejected" title="" id="41" name="Picture"/>
            <a:graphic>
              <a:graphicData uri="http://schemas.openxmlformats.org/drawingml/2006/picture">
                <pic:pic>
                  <pic:nvPicPr>
                    <pic:cNvPr descr="assets/gradvol_nih.png" id="42" name="Picture"/>
                    <pic:cNvPicPr>
                      <a:picLocks noChangeArrowheads="1" noChangeAspect="1"/>
                    </pic:cNvPicPr>
                  </pic:nvPicPr>
                  <pic:blipFill>
                    <a:blip r:embed="rId40"/>
                    <a:stretch>
                      <a:fillRect/>
                    </a:stretch>
                  </pic:blipFill>
                  <pic:spPr bwMode="auto">
                    <a:xfrm>
                      <a:off x="0" y="0"/>
                      <a:ext cx="4632960" cy="69494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Gradient volatility for accepted (top) versus deferred (bottom) predictions. Each row shows the input-gradient saliency map, the map after low-variance Gaussian perturbation, and their difference. Accepted predictions are stable (high signal-to-noise ratio); deferred predictions change substantially under the same perturbation (low signal-to-noise ratio).</w:t>
      </w:r>
    </w:p>
    <w:p>
      <w:pPr>
        <w:pStyle w:val="BodyText"/>
        <w:jc w:val="both"/>
        <w:keepNext w:val="0"/>
        <w:keepLines w:val="0"/>
        <w:widowControl w:val="1"/>
      </w:pPr>
      <w:r>
        <w:rPr>
          <w:highlight w:val="green"/>
        </w:rPr>
        <w:t xml:space="preserve">Grad-CAM offers a complementary spatial view (Figure 7):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5943600" cy="4188822"/>
            <wp:effectExtent b="0" l="0" r="0" t="0"/>
            <wp:docPr descr="Grad-CAM borderline vs confident" title="" id="44" name="Picture"/>
            <a:graphic>
              <a:graphicData uri="http://schemas.openxmlformats.org/drawingml/2006/picture">
                <pic:pic>
                  <pic:nvPicPr>
                    <pic:cNvPr descr="assets/e5_gradcam_nih.png" id="45" name="Picture"/>
                    <pic:cNvPicPr>
                      <a:picLocks noChangeArrowheads="1" noChangeAspect="1"/>
                    </pic:cNvPicPr>
                  </pic:nvPicPr>
                  <pic:blipFill>
                    <a:blip r:embed="rId43"/>
                    <a:stretch>
                      <a:fillRect/>
                    </a:stretch>
                  </pic:blipFill>
                  <pic:spPr bwMode="auto">
                    <a:xfrm>
                      <a:off x="0" y="0"/>
                      <a:ext cx="5943600" cy="418882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6"/>
    <w:bookmarkEnd w:id="47"/>
    <w:bookmarkStart w:id="48"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across all four conditions, across datasets, and across training regimes, and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t xml:space="preserve">Together these findings support uncertainty-aware selective prediction as a route to safer, more trustworthy AI-assisted diagnosis.</w:t>
      </w:r>
    </w:p>
    <w:bookmarkEnd w:id="48"/>
    <w:bookmarkStart w:id="49"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Two boundary conditions scope these results: the evaluation covers four thoracic findings and frontal views, and multimodal inputs and additional findings remain for future work.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49"/>
    <w:bookmarkStart w:id="50"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50"/>
    <w:bookmarkStart w:id="51"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1"/>
    <w:bookmarkStart w:id="52"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9. </w:t>
      </w:r>
      <w:r>
        <w:t xml:space="preserve">Cohen, J. P., Viviano, J., Morrison, P., Brooks, R., Hashir, M., Bertrand, H. (2020). TorchXRayVision: A library of chest X-ray datasets and models.</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10. </w:t>
      </w:r>
      <w:r>
        <w:t xml:space="preserve">Wang, X., et al. (2017). ChestX-ray8.</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11.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12.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13.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14.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15.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16.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17.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18.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19.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20.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21.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22.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23.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24. </w:t>
      </w:r>
      <w:r>
        <w:t xml:space="preserve">Cattelan, L., Silva, R. (2024). How to fix a broken confidence estimator: A simple approach for post-hoc deep model calibration.</w:t>
      </w:r>
      <w:r>
        <w:t xml:space="preserve"> </w:t>
      </w:r>
      <w:r>
        <w:rPr>
          <w:i/>
          <w:iCs/>
        </w:rPr>
        <w:t xml:space="preserve">UAI 2024</w:t>
      </w:r>
      <w:r>
        <w:t xml:space="preserve">.</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25. </w:t>
      </w:r>
      <w:r>
        <w:t xml:space="preserve">Rabanser, S., Thudi, A., Hamidieh, K., Dziedzic, A., Papernot, N. (2022). Selective classification via neural network training dynamics.</w:t>
      </w:r>
      <w:r>
        <w:t xml:space="preserve"> </w:t>
      </w:r>
      <w:r>
        <w:rPr>
          <w:i/>
          <w:iCs/>
        </w:rPr>
        <w:t xml:space="preserve">UAI 2022</w:t>
      </w:r>
      <w:r>
        <w:t xml:space="preserve">.</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26.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27.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28.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29.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30.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31.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32.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33.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52"/>
    <w:bookmarkEnd w:id="53"/>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60" w:before="0" w:line="252" w:lineRule="auto"/>
      <w:ind w:left="403" w:hanging="403"/>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36" Type="http://schemas.openxmlformats.org/officeDocument/2006/relationships/image" Target="media/rId36.png"/><Relationship Id="rId43" Type="http://schemas.openxmlformats.org/officeDocument/2006/relationships/image" Target="media/rId43.png"/><Relationship Id="rId18" Type="http://schemas.openxmlformats.org/officeDocument/2006/relationships/image" Target="media/rId18.png"/><Relationship Id="rId40" Type="http://schemas.openxmlformats.org/officeDocument/2006/relationships/image" Target="media/rId40.png"/><Relationship Id="rId10" Type="http://schemas.openxmlformats.org/officeDocument/2006/relationships/image" Target="media/rId10.png"/><Relationship Id="rId27" Type="http://schemas.openxmlformats.org/officeDocument/2006/relationships/image" Target="media/rId2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2026-06-04T16:17:18Z</dcterms:created>
  <dcterms:modified xsi:type="dcterms:W3CDTF">2026-06-04T16:17:18Z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