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Amit Tzahar</w:t>
      </w:r>
      <w:r>
        <w:rPr>
          <w:rFonts w:ascii="Times New Roman" w:hAnsi="Times New Roman"/>
          <w:b w:val="0"/>
          <w:i/>
          <w:sz w:val="20"/>
          <w:vertAlign w:val="superscript"/>
        </w:rPr>
        <w:t xml:space="preserve">1</w:t>
      </w:r>
      <w:r>
        <w:rPr>
          <w:rFonts w:ascii="Times New Roman" w:hAnsi="Times New Roman"/>
          <w:b w:val="0"/>
          <w:i/>
          <w:sz w:val="20"/>
        </w:rPr>
        <w:t xml:space="preserve">, Alon Gottlib</w:t>
      </w:r>
      <w:r>
        <w:rPr>
          <w:rFonts w:ascii="Times New Roman" w:hAnsi="Times New Roman"/>
          <w:b w:val="0"/>
          <w:i/>
          <w:sz w:val="20"/>
          <w:vertAlign w:val="superscript"/>
        </w:rPr>
        <w:t xml:space="preserve">1</w:t>
      </w:r>
      <w:r>
        <w:rPr>
          <w:rFonts w:ascii="Times New Roman" w:hAnsi="Times New Roman"/>
          <w:b w:val="0"/>
          <w:i/>
          <w:sz w:val="20"/>
        </w:rPr>
        <w:t xml:space="preserve">, Tal Verber</w:t>
      </w:r>
      <w:r>
        <w:rPr>
          <w:rFonts w:ascii="Times New Roman" w:hAnsi="Times New Roman"/>
          <w:b w:val="0"/>
          <w:i/>
          <w:sz w:val="20"/>
          <w:vertAlign w:val="superscript"/>
        </w:rPr>
        <w:t xml:space="preserve">1</w:t>
      </w:r>
      <w:r>
        <w:rPr>
          <w:rFonts w:ascii="Times New Roman" w:hAnsi="Times New Roman"/>
          <w:b w:val="0"/>
          <w:i/>
          <w:sz w:val="20"/>
        </w:rPr>
        <w:t xml:space="preserve">, Ravit Shagan Damti</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Across three large public datasets (PadChest, NIH ChestX-ray14, and MIMIC-CXR),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and on an independently trained model. A leave-one-dataset-out evaluation characterizes selective behaviour under domain shift.</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Introduction</w:t>
      </w:r>
    </w:p>
    <w:p>
      <w:pPr>
        <w:pStyle w:val="FirstParagraph"/>
        <w:ind w:left="720" w:right="720" w:firstLine="0"/>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2271472"/>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227147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pStyle w:val="BodyText"/>
        <w:ind w:left="720" w:right="720" w:firstLine="0"/>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ind w:left="720" w:right="720" w:firstLine="0"/>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ind w:left="720" w:right="720" w:firstLine="0"/>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ind w:left="720" w:right="720" w:firstLine="0"/>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ind w:left="720" w:right="720" w:firstLine="0"/>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PadChest, NIH ChestX-ray14, and MIMIC-CXR.</w:t>
      </w:r>
    </w:p>
    <w:p>
      <w:pPr>
        <w:pStyle w:val="BodyText"/>
        <w:ind w:left="720" w:right="720" w:firstLine="0"/>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18"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spacing w:before="160" w:after="60" w:line="240" w:lineRule="auto"/>
        <w:keepNext/>
        <w:keepLines/>
        <w:widowControl w:val="1"/>
      </w:pPr>
      <w:r>
        <w:rPr>
          <w:b/>
          <w:i/>
        </w:rPr>
        <w:t>Table 1:</w:t>
      </w:r>
      <w:r>
        <w:rPr>
          <w:b w:val="0"/>
          <w:i/>
        </w:rPr>
        <w:t xml:space="preserve"> </w:t>
      </w:r>
      <w:r>
        <w:rPr>
          <w:b w:val="0"/>
          <w:i/>
        </w:rPr>
        <w:t>Class distribution for the four target pathologies. The dataset is imbalanced, with higher prevalence of Cardiomegaly and Effusion than the rarer Edema and Consolidation, and a substantial number of images carry multiple positive labels.</w:t>
      </w:r>
    </w:p>
    <w:tbl>
      <w:tblPr>
        <w:tblStyle w:val="Table"/>
        <w:tblW w:type="pct" w:w="5000"/>
        <w:jc w:val="center"/>
        <w:tblLook w:firstRow="1" w:lastRow="0" w:firstColumn="0" w:lastColumn="0" w:noHBand="0" w:noVBand="0" w:val="0020"/>
        <w:tblCaption w:val="Table 1: Class distribution for the four target pathologies. The dataset is imbalanced, with higher prevalence of Cardiomegaly and Effusion than the rarer Edema and Consolidation, and a substantial number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11919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Consolidation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Multi-Pathology</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3869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3.1</w:t>
            </w:r>
          </w:p>
        </w:tc>
      </w:tr>
    </w:tbl>
    <w:bookmarkEnd w:id="18"/>
    <w:bookmarkStart w:id="19"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19"/>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resized to 224x224 and normalized following the backbone convention; the calibration and evaluation splits are patient-level, and random seeds are fixed for reproducibility.</w:t>
      </w:r>
    </w:p>
    <w:p>
      <w:pPr>
        <w:pStyle w:val="BodyText"/>
        <w:jc w:val="center"/>
        <w:keepNext/>
        <w:keepLines/>
        <w:widowControl w:val="1"/>
      </w:pPr>
      <w:r>
        <w:drawing>
          <wp:inline>
            <wp:extent cx="5852160" cy="3291840"/>
            <wp:effectExtent b="0" l="0" r="0" t="0"/>
            <wp:docPr descr="entropy distribution" title="" id="21" name="Picture"/>
            <a:graphic>
              <a:graphicData uri="http://schemas.openxmlformats.org/drawingml/2006/picture">
                <pic:pic>
                  <pic:nvPicPr>
                    <pic:cNvPr descr="assets/entropy_dist.png" id="22" name="Picture"/>
                    <pic:cNvPicPr>
                      <a:picLocks noChangeArrowheads="1" noChangeAspect="1"/>
                    </pic:cNvPicPr>
                  </pic:nvPicPr>
                  <pic:blipFill>
                    <a:blip r:embed="rId20"/>
                    <a:stretch>
                      <a:fillRect/>
                    </a:stretch>
                  </pic:blipFill>
                  <pic:spPr bwMode="auto">
                    <a:xfrm>
                      <a:off x="0" y="0"/>
                      <a:ext cx="5852160" cy="329184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2:</w:t>
      </w:r>
      <w:r>
        <w:rPr>
          <w:b w:val="0"/>
          <w:i/>
        </w:rPr>
        <w:t xml:space="preserve"> </w:t>
      </w:r>
      <w:r>
        <w:rPr>
          <w:b w:val="0"/>
          <w:i/>
        </w:rPr>
        <w:t>Predictive entropy of correct and incorrect predictions for the baseline model. Correct predictions concentrate at low entropy and incorrect predictions at high entropy across the target pathologies, indicating that predictive uncertainty is a strong indicator of potential misclassification and motivating uncertainty-based rejection.</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r>
            <m:t>p</m:t>
          </m:r>
          <m:r>
            <m:rPr>
              <m:sty m:val="p"/>
            </m:rPr>
            <m:t>)</m:t>
          </m:r>
          <m:r>
            <m:rPr>
              <m:sty m:val="p"/>
            </m:rPr>
            <m:t>=</m:t>
          </m:r>
          <m:r>
            <m:rPr>
              <m:sty m:val="p"/>
            </m:rPr>
            <m:t>−</m:t>
          </m:r>
          <m:r>
            <m:t> </m:t>
          </m:r>
          <m:r>
            <m:t>p</m:t>
          </m:r>
          <m:sSub>
            <m:e>
              <m:r>
                <m:rPr>
                  <m:sty m:val="p"/>
                </m:rPr>
                <m:t>log</m:t>
              </m:r>
            </m:e>
            <m:sub>
              <m:r>
                <m:t>2</m:t>
              </m:r>
            </m:sub>
          </m:sSub>
          <m:r>
            <m:t>p</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c</m:t>
            </m:r>
          </m:sub>
        </m:sSub>
      </m:oMath>
      <w:r>
        <w:t xml:space="preserve">,</w:t>
      </w:r>
    </w:p>
    <w:p>
      <w:pPr>
        <w:pStyle w:val="BodyText"/>
      </w:pPr>
      <m:oMathPara>
        <m:oMathParaPr>
          <m:jc m:val="center"/>
        </m:oMathParaPr>
        <m:oMath>
          <m:r>
            <m:rPr>
              <m:nor/>
              <m:sty m:val="p"/>
            </m:rPr>
            <m:t>reject pathology </m:t>
          </m:r>
          <m:r>
            <m:t>c</m:t>
          </m:r>
          <m:r>
            <m:rPr>
              <m:sty m:val="p"/>
            </m:rPr>
            <m:t>⇔</m:t>
          </m:r>
          <m:r>
            <m:t>H</m:t>
          </m:r>
          <m:r>
            <m:rPr>
              <m:sty m:val="p"/>
            </m:rPr>
            <m:t>(</m:t>
          </m:r>
          <m:sSub>
            <m:e>
              <m:r>
                <m:t>p</m:t>
              </m:r>
            </m:e>
            <m:sub>
              <m:r>
                <m:t>c</m:t>
              </m:r>
            </m:sub>
          </m:sSub>
          <m:r>
            <m:rPr>
              <m:sty m:val="p"/>
            </m:rPr>
            <m:t>)</m:t>
          </m:r>
          <m:r>
            <m:rPr>
              <m:sty m:val="p"/>
            </m:rPr>
            <m:t>&gt;</m:t>
          </m:r>
          <m:sSub>
            <m:e>
              <m:r>
                <m:t>τ</m:t>
              </m:r>
            </m:e>
            <m:sub>
              <m:r>
                <m:t>c</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5)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44"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 The backbone attains per-pathology discrimination in the range of AUC 0.79 to 0.91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30"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spacing w:before="160" w:after="60" w:line="240" w:lineRule="auto"/>
        <w:keepNext/>
        <w:keepLines/>
        <w:widowControl w:val="1"/>
      </w:pPr>
      <w:r>
        <w:rPr>
          <w:b/>
          <w:i/>
        </w:rPr>
        <w:t>Table 2:</w:t>
      </w:r>
      <w:r>
        <w:rPr>
          <w:b w:val="0"/>
          <w:i/>
        </w:rPr>
        <w:t xml:space="preserve"> </w:t>
      </w:r>
      <w:r>
        <w:rPr>
          <w:b w:val="0"/>
          <w:i/>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+0.082 [0.056, 0.113]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+0.043 [0.029, 0.060]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+0.086 [0.054, 0.125]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0.730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0.807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+0.076 [0.057, 0.095]</w:t>
            </w:r>
          </w:p>
        </w:tc>
      </w:tr>
    </w:tbl>
    <w:p>
      <w:pPr>
        <w:pStyle w:val="BodyText"/>
        <w:jc w:val="center"/>
        <w:keepNext/>
        <w:keepLines/>
        <w:widowControl w:val="1"/>
      </w:pPr>
      <w:r>
        <w:drawing>
          <wp:inline>
            <wp:extent cx="5486400" cy="3657600"/>
            <wp:effectExtent b="0" l="0" r="0" t="0"/>
            <wp:docPr descr="selective balanced accuracy vs coverage" title="" id="28" name="Picture"/>
            <a:graphic>
              <a:graphicData uri="http://schemas.openxmlformats.org/drawingml/2006/picture">
                <pic:pic>
                  <pic:nvPicPr>
                    <pic:cNvPr descr="assets/selective_bacc_nih22k.png" id="29" name="Picture"/>
                    <pic:cNvPicPr>
                      <a:picLocks noChangeArrowheads="1" noChangeAspect="1"/>
                    </pic:cNvPicPr>
                  </pic:nvPicPr>
                  <pic:blipFill>
                    <a:blip r:embed="rId27"/>
                    <a:stretch>
                      <a:fillRect/>
                    </a:stretch>
                  </pic:blipFill>
                  <pic:spPr bwMode="auto">
                    <a:xfrm>
                      <a:off x="0" y="0"/>
                      <a:ext cx="5486400" cy="365760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3:</w:t>
      </w:r>
      <w:r>
        <w:rPr>
          <w:b w:val="0"/>
          <w:i/>
        </w:rPr>
        <w:t xml:space="preserve"> </w:t>
      </w:r>
      <w:r>
        <w:rPr>
          <w:b w:val="0"/>
          <w:i/>
        </w:rPr>
        <w:t>Selective balanced accuracy as a function of coverage for each pathology. Balanced accuracy increases as the most uncertain predictions are deferred.</w:t>
      </w:r>
    </w:p>
    <w:bookmarkEnd w:id="30"/>
    <w:bookmarkStart w:id="34"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4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943600" cy="1263015"/>
            <wp:effectExtent b="0" l="0" r="0" t="0"/>
            <wp:docPr descr="risk-coverage curves" title="" id="32" name="Picture"/>
            <a:graphic>
              <a:graphicData uri="http://schemas.openxmlformats.org/drawingml/2006/picture">
                <pic:pic>
                  <pic:nvPicPr>
                    <pic:cNvPr descr="assets/e1_risk_coverage_nih22k.png" id="33" name="Picture"/>
                    <pic:cNvPicPr>
                      <a:picLocks noChangeArrowheads="1" noChangeAspect="1"/>
                    </pic:cNvPicPr>
                  </pic:nvPicPr>
                  <pic:blipFill>
                    <a:blip r:embed="rId31"/>
                    <a:stretch>
                      <a:fillRect/>
                    </a:stretch>
                  </pic:blipFill>
                  <pic:spPr bwMode="auto">
                    <a:xfrm>
                      <a:off x="0" y="0"/>
                      <a:ext cx="5943600" cy="1263015"/>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4:</w:t>
      </w:r>
      <w:r>
        <w:rPr>
          <w:b w:val="0"/>
          <w:i/>
        </w:rPr>
        <w:t xml:space="preserve"> </w:t>
      </w:r>
      <w:r>
        <w:rPr>
          <w:b w:val="0"/>
          <w:i/>
        </w:rPr>
        <w:t>Risk-coverage curves per pathology. The retained-prediction performance is traced against coverage as the entropy threshold varies.</w:t>
      </w:r>
    </w:p>
    <w:bookmarkEnd w:id="34"/>
    <w:bookmarkStart w:id="35"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160" w:after="60" w:line="240" w:lineRule="auto"/>
        <w:keepNext/>
        <w:keepLines/>
        <w:widowControl w:val="1"/>
      </w:pPr>
      <w:r>
        <w:rPr>
          <w:b/>
          <w:i/>
        </w:rPr>
        <w:t>Table 3:</w:t>
      </w:r>
      <w:r>
        <w:rPr>
          <w:b w:val="0"/>
          <w:i/>
        </w:rPr>
        <w:t xml:space="preserve"> </w:t>
      </w:r>
      <w:r>
        <w:rPr>
          <w:b w:val="0"/>
          <w:i/>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0.756</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0.793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0.639</w:t>
            </w:r>
          </w:p>
        </w:tc>
      </w:tr>
    </w:tbl>
    <w:bookmarkEnd w:id="35"/>
    <w:bookmarkStart w:id="39"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5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pStyle w:val="BodyText"/>
        <w:jc w:val="center"/>
        <w:keepNext/>
        <w:keepLines/>
        <w:widowControl w:val="1"/>
      </w:pPr>
      <w:r>
        <w:drawing>
          <wp:inline>
            <wp:extent cx="5943600" cy="2161309"/>
            <wp:effectExtent b="0" l="0" r="0" t="0"/>
            <wp:docPr descr="threshold sensitivity" title="" id="37" name="Picture"/>
            <a:graphic>
              <a:graphicData uri="http://schemas.openxmlformats.org/drawingml/2006/picture">
                <pic:pic>
                  <pic:nvPicPr>
                    <pic:cNvPr descr="assets/e4_threshold_sweep_nih22k.png" id="38" name="Picture"/>
                    <pic:cNvPicPr>
                      <a:picLocks noChangeArrowheads="1" noChangeAspect="1"/>
                    </pic:cNvPicPr>
                  </pic:nvPicPr>
                  <pic:blipFill>
                    <a:blip r:embed="rId36"/>
                    <a:stretch>
                      <a:fillRect/>
                    </a:stretch>
                  </pic:blipFill>
                  <pic:spPr bwMode="auto">
                    <a:xfrm>
                      <a:off x="0" y="0"/>
                      <a:ext cx="5943600" cy="2161309"/>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5:</w:t>
      </w:r>
      <w:r>
        <w:rPr>
          <w:b w:val="0"/>
          <w:i/>
        </w:rPr>
        <w:t xml:space="preserve"> </w:t>
      </w:r>
      <w:r>
        <w:rPr>
          <w:b w:val="0"/>
          <w:i/>
        </w:rPr>
        <w:t>Threshold sensitivity. Rejection rate and retained performance as a function of the calibration percentile.</w:t>
      </w:r>
    </w:p>
    <w:bookmarkEnd w:id="39"/>
    <w:bookmarkStart w:id="43"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Model behavior around uncertain regions can be illustrated using input gradients, which capture the local sensitivity of predictions to small changes in the image. Confident predictions are expected to exhibit local smoothness, whereas predictions near a decision boundary are more likely to demonstrate elevated sensitivity. We compute input gradients for each image and recompute them after applying low-variance white Gaussian noise, quantifying gradient volatility using the signal-to-noise ratio between the original and perturbed maps. Rejected cases exhibit substantial gradient changes under minimal perturbations, indicating an unstable decision surface, whereas accepted cases show consistent gradient patterns.</w:t>
      </w:r>
    </w:p>
    <w:p>
      <w:pPr>
        <w:pStyle w:val="BodyText"/>
        <w:jc w:val="center"/>
        <w:keepNext/>
        <w:keepLines/>
        <w:widowControl w:val="1"/>
      </w:pPr>
      <w:r>
        <w:drawing>
          <wp:inline>
            <wp:extent cx="5943600" cy="2971800"/>
            <wp:effectExtent b="0" l="0" r="0" t="0"/>
            <wp:docPr descr="Grad-CAM borderline vs confident" title="" id="41" name="Picture"/>
            <a:graphic>
              <a:graphicData uri="http://schemas.openxmlformats.org/drawingml/2006/picture">
                <pic:pic>
                  <pic:nvPicPr>
                    <pic:cNvPr descr="assets/e5_gradcam_nih.png" id="42" name="Picture"/>
                    <pic:cNvPicPr>
                      <a:picLocks noChangeArrowheads="1" noChangeAspect="1"/>
                    </pic:cNvPicPr>
                  </pic:nvPicPr>
                  <pic:blipFill>
                    <a:blip r:embed="rId40"/>
                    <a:stretch>
                      <a:fillRect/>
                    </a:stretch>
                  </pic:blipFill>
                  <pic:spPr bwMode="auto">
                    <a:xfrm>
                      <a:off x="0" y="0"/>
                      <a:ext cx="5943600" cy="297180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6:</w:t>
      </w:r>
      <w:r>
        <w:rPr>
          <w:b w:val="0"/>
          <w:i/>
        </w:rPr>
        <w:t xml:space="preserve"> </w:t>
      </w:r>
      <w:r>
        <w:rPr>
          <w:b w:val="0"/>
          <w:i/>
          <w:highlight w:val="green"/>
        </w:rPr>
        <w:t>Grad-CAM overlays for confident accepted cases (top) and borderline rejected cases (bottom) for each pathology. Accepted cases localize on the relevant anatomy, while rejected cases show diffuse or unstable activation, complementing the gradient-volatility analysis.</w:t>
      </w:r>
    </w:p>
    <w:bookmarkEnd w:id="43"/>
    <w:bookmarkEnd w:id="44"/>
    <w:bookmarkStart w:id="45"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or low-prevalence findings such as Edema and Consolidation.</w:t>
      </w:r>
      <w:r>
        <w:t xml:space="preserve"> </w:t>
      </w:r>
      <w:r>
        <w:rPr>
          <w:highlight w:val="green"/>
        </w:rPr>
        <w:t xml:space="preserve">A leave-one-dataset-out evaluation quantifies the domain-shift penalty and shows the regime in which selective prediction is most valuable, since abstaining on uncertain cases reduces the risk associated with out-of-distribution inputs while preserving reliable predictions.</w:t>
      </w:r>
      <w:r>
        <w:t xml:space="preserve"> </w:t>
      </w:r>
      <w:r>
        <w:t xml:space="preserve">Together these findings support uncertainty-aware selective prediction as a route to safer, more trustworthy AI-assisted diagnosis.</w:t>
      </w:r>
    </w:p>
    <w:bookmarkEnd w:id="45"/>
    <w:bookmarkStart w:id="46"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46"/>
    <w:bookmarkStart w:id="47"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47"/>
    <w:bookmarkStart w:id="48"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48"/>
    <w:bookmarkStart w:id="49" w:name="references"/>
    <w:p>
      <w:pPr>
        <w:pStyle w:val="ReferencesHeading"/>
        <w:jc w:val="left"/>
        <w:keepNext/>
        <w:keepLines/>
        <w:widowControl w:val="1"/>
      </w:pPr>
      <w:r>
        <w:t xml:space="preserve">References</w:t>
      </w:r>
    </w:p>
    <w:p>
      <w:pPr>
        <w:pStyle w:val="ReferenceEntry"/>
        <w:numPr>
          <w:ilvl w:val="0"/>
          <w:numId w:val="1001"/>
        </w:numPr>
        <w:jc w:val="left"/>
        <w:keepNext w:val="0"/>
        <w:keepLines w:val="0"/>
        <w:widowControl w:val="1"/>
      </w:pP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jc w:val="left"/>
        <w:keepNext w:val="0"/>
        <w:keepLines w:val="0"/>
        <w:widowControl w:val="1"/>
      </w:pP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jc w:val="left"/>
        <w:keepNext w:val="0"/>
        <w:keepLines w:val="0"/>
        <w:widowControl w:val="1"/>
      </w:pP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Rajpurkar, P., et al. (2017). CheXNet: Radiologist-level pneumonia detection on chest X-rays with deep learning. arXiv:1711.05225.</w:t>
      </w:r>
    </w:p>
    <w:p>
      <w:pPr>
        <w:pStyle w:val="ReferenceEntry"/>
        <w:numPr>
          <w:ilvl w:val="0"/>
          <w:numId w:val="1001"/>
        </w:numPr>
        <w:jc w:val="left"/>
        <w:keepNext w:val="0"/>
        <w:keepLines w:val="0"/>
        <w:widowControl w:val="1"/>
      </w:pP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jc w:val="left"/>
        <w:keepNext w:val="0"/>
        <w:keepLines w:val="0"/>
        <w:widowControl w:val="1"/>
      </w:pP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jc w:val="left"/>
        <w:keepNext w:val="0"/>
        <w:keepLines w:val="0"/>
        <w:widowControl w:val="1"/>
      </w:pP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jc w:val="left"/>
        <w:keepNext w:val="0"/>
        <w:keepLines w:val="0"/>
        <w:widowControl w:val="1"/>
      </w:pP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jc w:val="left"/>
        <w:keepNext w:val="0"/>
        <w:keepLines w:val="0"/>
        <w:widowControl w:val="1"/>
      </w:pPr>
      <w:r>
        <w:t xml:space="preserve">Cohen, J. P., Viviano, J., Morrison, P., Brooks, R., Hashir, M., Bertrand, H. (2020). TorchXRayVision: A library of chest X-ray datasets and models.</w:t>
      </w:r>
    </w:p>
    <w:p>
      <w:pPr>
        <w:pStyle w:val="ReferenceEntry"/>
        <w:numPr>
          <w:ilvl w:val="0"/>
          <w:numId w:val="1001"/>
        </w:numPr>
        <w:jc w:val="left"/>
        <w:keepNext w:val="0"/>
        <w:keepLines w:val="0"/>
        <w:widowControl w:val="1"/>
      </w:pPr>
      <w:r>
        <w:t xml:space="preserve">Wang, X., et al. (2017). ChestX-ray8.</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Johnson, A. E., et al. (2019). MIMIC-CXR-JPG, a large publicly available database of labeled chest radiographs. arXiv:1901.07042.</w:t>
      </w:r>
    </w:p>
    <w:p>
      <w:pPr>
        <w:pStyle w:val="ReferenceEntry"/>
        <w:numPr>
          <w:ilvl w:val="0"/>
          <w:numId w:val="1001"/>
        </w:numPr>
        <w:jc w:val="left"/>
        <w:keepNext w:val="0"/>
        <w:keepLines w:val="0"/>
        <w:widowControl w:val="1"/>
      </w:pP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jc w:val="left"/>
        <w:keepNext w:val="0"/>
        <w:keepLines w:val="0"/>
        <w:widowControl w:val="1"/>
      </w:pP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jc w:val="left"/>
        <w:keepNext w:val="0"/>
        <w:keepLines w:val="0"/>
        <w:widowControl w:val="1"/>
      </w:pPr>
      <w:r>
        <w:t xml:space="preserve">Goodfellow, I. J., Shlens, J., Szegedy, C. (2014). Explaining and harnessing adversarial examples. arXiv:1412.6572.</w:t>
      </w:r>
    </w:p>
    <w:p>
      <w:pPr>
        <w:pStyle w:val="ReferenceEntry"/>
        <w:numPr>
          <w:ilvl w:val="0"/>
          <w:numId w:val="1001"/>
        </w:numPr>
        <w:jc w:val="left"/>
        <w:keepNext w:val="0"/>
        <w:keepLines w:val="0"/>
        <w:widowControl w:val="1"/>
      </w:pP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jc w:val="left"/>
        <w:keepNext w:val="0"/>
        <w:keepLines w:val="0"/>
        <w:widowControl w:val="1"/>
      </w:pP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jc w:val="left"/>
        <w:keepNext w:val="0"/>
        <w:keepLines w:val="0"/>
        <w:widowControl w:val="1"/>
      </w:pPr>
      <w:r>
        <w:t xml:space="preserve">Levy, D., et al. (2026). From Cold Start to Active Learning: Embedding-Based Scan Selection for Medical Image Segmentation. arXiv:2601.18532.</w:t>
      </w:r>
    </w:p>
    <w:p>
      <w:pPr>
        <w:pStyle w:val="ReferenceEntry"/>
        <w:numPr>
          <w:ilvl w:val="0"/>
          <w:numId w:val="1001"/>
        </w:numPr>
        <w:jc w:val="left"/>
        <w:keepNext w:val="0"/>
        <w:keepLines w:val="0"/>
        <w:widowControl w:val="1"/>
      </w:pP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jc w:val="left"/>
        <w:keepNext w:val="0"/>
        <w:keepLines w:val="0"/>
        <w:widowControl w:val="1"/>
      </w:pP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jc w:val="left"/>
        <w:keepNext w:val="0"/>
        <w:keepLines w:val="0"/>
        <w:widowControl w:val="1"/>
      </w:pP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jc w:val="left"/>
        <w:keepNext w:val="0"/>
        <w:keepLines w:val="0"/>
        <w:widowControl w:val="1"/>
      </w:pP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jc w:val="left"/>
        <w:keepNext w:val="0"/>
        <w:keepLines w:val="0"/>
        <w:widowControl w:val="1"/>
      </w:pP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jc w:val="left"/>
        <w:keepNext w:val="0"/>
        <w:keepLines w:val="0"/>
        <w:widowControl w:val="1"/>
      </w:pP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jc w:val="left"/>
        <w:keepNext w:val="0"/>
        <w:keepLines w:val="0"/>
        <w:widowControl w:val="1"/>
      </w:pPr>
      <w:r>
        <w:t xml:space="preserve">Cattelan, L., Silva, R. (2024). How to fix a broken confidence estimator: A simple approach for post-hoc deep model calibration.</w:t>
      </w:r>
      <w:r>
        <w:t xml:space="preserve"> </w:t>
      </w:r>
      <w:r>
        <w:rPr>
          <w:i/>
          <w:iCs/>
        </w:rPr>
        <w:t xml:space="preserve">UAI 2024</w:t>
      </w:r>
      <w:r>
        <w:t xml:space="preserve">.</w:t>
      </w:r>
    </w:p>
    <w:p>
      <w:pPr>
        <w:pStyle w:val="ReferenceEntry"/>
        <w:numPr>
          <w:ilvl w:val="0"/>
          <w:numId w:val="1001"/>
        </w:numPr>
        <w:jc w:val="left"/>
        <w:keepNext w:val="0"/>
        <w:keepLines w:val="0"/>
        <w:widowControl w:val="1"/>
      </w:pPr>
      <w:r>
        <w:t xml:space="preserve">Rabanser, S., Thudi, A., Hamidieh, K., Dziedzic, A., Papernot, N. (2022). Selective classification via neural network training dynamics.</w:t>
      </w:r>
      <w:r>
        <w:t xml:space="preserve"> </w:t>
      </w:r>
      <w:r>
        <w:rPr>
          <w:i/>
          <w:iCs/>
        </w:rPr>
        <w:t xml:space="preserve">UAI 2022</w:t>
      </w:r>
      <w:r>
        <w:t xml:space="preserve">.</w:t>
      </w:r>
    </w:p>
    <w:p>
      <w:pPr>
        <w:pStyle w:val="ReferenceEntry"/>
        <w:numPr>
          <w:ilvl w:val="0"/>
          <w:numId w:val="1001"/>
        </w:numPr>
        <w:jc w:val="left"/>
        <w:keepNext w:val="0"/>
        <w:keepLines w:val="0"/>
        <w:widowControl w:val="1"/>
      </w:pP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jc w:val="left"/>
        <w:keepNext w:val="0"/>
        <w:keepLines w:val="0"/>
        <w:widowControl w:val="1"/>
      </w:pP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jc w:val="left"/>
        <w:keepNext w:val="0"/>
        <w:keepLines w:val="0"/>
        <w:widowControl w:val="1"/>
      </w:pP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jc w:val="left"/>
        <w:keepNext w:val="0"/>
        <w:keepLines w:val="0"/>
        <w:widowControl w:val="1"/>
      </w:pP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jc w:val="left"/>
        <w:keepNext w:val="0"/>
        <w:keepLines w:val="0"/>
        <w:widowControl w:val="1"/>
      </w:pP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jc w:val="left"/>
        <w:keepNext w:val="0"/>
        <w:keepLines w:val="0"/>
        <w:widowControl w:val="1"/>
      </w:pP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jc w:val="left"/>
        <w:keepNext w:val="0"/>
        <w:keepLines w:val="0"/>
        <w:widowControl w:val="1"/>
      </w:pP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jc w:val="left"/>
        <w:keepNext w:val="0"/>
        <w:keepLines w:val="0"/>
        <w:widowControl w:val="1"/>
      </w:pP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49"/>
    <w:bookmarkEnd w:id="5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36" Type="http://schemas.openxmlformats.org/officeDocument/2006/relationships/image" Target="media/rId36.png"/><Relationship Id="rId40" Type="http://schemas.openxmlformats.org/officeDocument/2006/relationships/image" Target="media/rId40.png"/><Relationship Id="rId20" Type="http://schemas.openxmlformats.org/officeDocument/2006/relationships/image" Target="media/rId20.png"/><Relationship Id="rId10" Type="http://schemas.openxmlformats.org/officeDocument/2006/relationships/image" Target="media/rId10.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2026-06-02T16:10:14Z</dcterms:created>
  <dcterms:modified xsi:type="dcterms:W3CDTF">2026-06-02T16:10:14Z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