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The improvement reproduces on MIMIC-CXR (all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(24,397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0.94, Consolidation 0.86), deferral improves balanced accuracy for three of the four pathologies (Cardiomegaly +0.099 [0.073, 0.134], Effusion +0.091 [0.059, 0.125], Edema +0.064 [0.042,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Cardiomegaly (+0.105 [0.079, 0.134]), Effusion (+0.057 [0.028, 0.086]), and Edema (+0.031 [0.004, 0.077]),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only isolated low-prevalence cells on the geographically distinct PadChest cohort not reaching significance;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2026-06-05T13:15:11Z</dcterms:created>
  <dcterms:modified xsi:type="dcterms:W3CDTF">2026-06-05T13:15:11Z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