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Amit Tzahar</w:t>
      </w:r>
      <w:r>
        <w:rPr>
          <w:rFonts w:ascii="Times New Roman" w:hAnsi="Times New Roman"/>
          <w:b w:val="0"/>
          <w:i/>
          <w:sz w:val="20"/>
          <w:vertAlign w:val="superscript"/>
        </w:rPr>
        <w:t xml:space="preserve">1</w:t>
      </w:r>
      <w:r>
        <w:rPr>
          <w:rFonts w:ascii="Times New Roman" w:hAnsi="Times New Roman"/>
          <w:b w:val="0"/>
          <w:i/>
          <w:sz w:val="20"/>
        </w:rPr>
        <w:t xml:space="preserve">, Alon Gottlib</w:t>
      </w:r>
      <w:r>
        <w:rPr>
          <w:rFonts w:ascii="Times New Roman" w:hAnsi="Times New Roman"/>
          <w:b w:val="0"/>
          <w:i/>
          <w:sz w:val="20"/>
          <w:vertAlign w:val="superscript"/>
        </w:rPr>
        <w:t xml:space="preserve">1</w:t>
      </w:r>
      <w:r>
        <w:rPr>
          <w:rFonts w:ascii="Times New Roman" w:hAnsi="Times New Roman"/>
          <w:b w:val="0"/>
          <w:i/>
          <w:sz w:val="20"/>
        </w:rPr>
        <w:t xml:space="preserve">, Tal Verber</w:t>
      </w:r>
      <w:r>
        <w:rPr>
          <w:rFonts w:ascii="Times New Roman" w:hAnsi="Times New Roman"/>
          <w:b w:val="0"/>
          <w:i/>
          <w:sz w:val="20"/>
          <w:vertAlign w:val="superscript"/>
        </w:rPr>
        <w:t xml:space="preserve">1</w:t>
      </w:r>
      <w:r>
        <w:rPr>
          <w:rFonts w:ascii="Times New Roman" w:hAnsi="Times New Roman"/>
          <w:b w:val="0"/>
          <w:i/>
          <w:sz w:val="20"/>
        </w:rPr>
        <w:t xml:space="preserve">, Ravit Shagan Damti</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and MIMIC-CXR,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and on an independently trained model. A leave-one-dataset-out evaluation shows that, although domain shift lowers discrimination, deferral improves retained balanced accuracy on the unseen source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2271472"/>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227147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between NIH ChestX-ray14 and MIMIC-CXR.</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3"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18"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160" w:after="60" w:line="240" w:lineRule="auto"/>
        <w:keepNext/>
        <w:keepLines/>
        <w:widowControl w:val="1"/>
      </w:pPr>
      <w:r>
        <w:rPr>
          <w:b/>
          <w:i/>
        </w:rPr>
        <w:t>Table 1:</w:t>
      </w:r>
      <w:r>
        <w:rPr>
          <w:b w:val="0"/>
          <w:i/>
        </w:rPr>
        <w:t xml:space="preserve"> </w:t>
      </w:r>
      <w:r>
        <w:rPr>
          <w:b w:val="0"/>
          <w:i/>
        </w:rPr>
        <w:t>Class distribution for the four target pathologies. The dataset is imbalanced, with higher prevalence of Cardiomegaly and Effusion than the rarer Edema and Consolidation, and a substantial number of images carry multiple positive labels.</w:t>
      </w:r>
    </w:p>
    <w:tbl>
      <w:tblPr>
        <w:tblStyle w:val="Table"/>
        <w:tblW w:type="pct" w:w="5000"/>
        <w:jc w:val="center"/>
        <w:tblLook w:firstRow="1" w:lastRow="0" w:firstColumn="0" w:lastColumn="0" w:noHBand="0" w:noVBand="0" w:val="0020"/>
        <w:tblCaption w:val="Table 1: Class distribution for the four target pathologies. The dataset is imbalanced, with higher prevalence of Cardiomegaly and Effusion than the rarer Edema and Consolidation, and a substantial number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11919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Multi-Pathology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3869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3.1</w:t>
            </w:r>
          </w:p>
        </w:tc>
      </w:tr>
    </w:tbl>
    <w:bookmarkEnd w:id="18"/>
    <w:bookmarkStart w:id="19"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19"/>
    <w:bookmarkStart w:id="20"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w:t>
      </w:r>
    </w:p>
    <w:bookmarkEnd w:id="20"/>
    <w:bookmarkStart w:id="21"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1"/>
    <w:bookmarkStart w:id="22"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4)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2"/>
    <w:bookmarkEnd w:id="23"/>
    <w:bookmarkStart w:id="41"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and 1,155 MIMIC-CXR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27"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160" w:after="60" w:line="240" w:lineRule="auto"/>
        <w:keepNext/>
        <w:keepLines/>
        <w:widowControl w:val="1"/>
      </w:pPr>
      <w:r>
        <w:rPr>
          <w:b/>
          <w:i/>
        </w:rPr>
        <w:t>Table 2:</w:t>
      </w:r>
      <w:r>
        <w:rPr>
          <w:b w:val="0"/>
          <w:i/>
        </w:rPr>
        <w:t xml:space="preserve"> </w:t>
      </w:r>
      <w:r>
        <w:rPr>
          <w:b w:val="0"/>
          <w:i/>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+0.082 [0.056, 0.113]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+0.043 [0.029, 0.060]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+0.086 [0.054, 0.125]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0.807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25" name="Picture"/>
            <a:graphic>
              <a:graphicData uri="http://schemas.openxmlformats.org/drawingml/2006/picture">
                <pic:pic>
                  <pic:nvPicPr>
                    <pic:cNvPr descr="assets/selective_bacc_nih22k.png" id="26" name="Picture"/>
                    <pic:cNvPicPr>
                      <a:picLocks noChangeArrowheads="1" noChangeAspect="1"/>
                    </pic:cNvPicPr>
                  </pic:nvPicPr>
                  <pic:blipFill>
                    <a:blip r:embed="rId24"/>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2:</w:t>
      </w:r>
      <w:r>
        <w:rPr>
          <w:b w:val="0"/>
          <w:i/>
        </w:rPr>
        <w:t xml:space="preserve"> </w:t>
      </w:r>
      <w:r>
        <w:rPr>
          <w:b w:val="0"/>
          <w:i/>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the same calibrated-threshold analysis yields supported balanced-accuracy gains for three of the four pathologies (Cardiomegaly +0.080 [0.039, 0.122], Effusion +0.064 [0.039, 0.097], Edema +0.090 [0.036, 0.144]; 95% confidence intervals excluding zero), and an independently trained weighted-BCE DenseNet-121 reproduces the improvement across all four pathologies, indicating the effect is not specific to one backbone or dataset.</w:t>
      </w:r>
    </w:p>
    <w:bookmarkEnd w:id="27"/>
    <w:bookmarkStart w:id="31"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3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29" name="Picture"/>
            <a:graphic>
              <a:graphicData uri="http://schemas.openxmlformats.org/drawingml/2006/picture">
                <pic:pic>
                  <pic:nvPicPr>
                    <pic:cNvPr descr="assets/e1_risk_coverage_nih22k.png" id="30" name="Picture"/>
                    <pic:cNvPicPr>
                      <a:picLocks noChangeArrowheads="1" noChangeAspect="1"/>
                    </pic:cNvPicPr>
                  </pic:nvPicPr>
                  <pic:blipFill>
                    <a:blip r:embed="rId28"/>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Risk-coverage curves per pathology. The retained-prediction performance is traced against coverage as the entropy threshold varies.</w:t>
      </w:r>
    </w:p>
    <w:bookmarkEnd w:id="31"/>
    <w:bookmarkStart w:id="32"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160" w:after="60" w:line="240" w:lineRule="auto"/>
        <w:keepNext/>
        <w:keepLines/>
        <w:widowControl w:val="1"/>
      </w:pPr>
      <w:r>
        <w:rPr>
          <w:b/>
          <w:i/>
        </w:rPr>
        <w:t>Table 3:</w:t>
      </w:r>
      <w:r>
        <w:rPr>
          <w:b w:val="0"/>
          <w:i/>
        </w:rPr>
        <w:t xml:space="preserve"> </w:t>
      </w:r>
      <w:r>
        <w:rPr>
          <w:b w:val="0"/>
          <w:i/>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0.670</w:t>
            </w:r>
          </w:p>
        </w:tc>
      </w:tr>
    </w:tbl>
    <w:p>
      <w:pPr>
        <w:pStyle w:val="BodyText"/>
        <w:spacing w:before="16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Selective prediction therefore provides a safeguard precisely where it is most needed, on out-of-distribution inputs.</w:t>
      </w:r>
    </w:p>
    <w:p>
      <w:pPr>
        <w:spacing w:before="160" w:after="60" w:line="240" w:lineRule="auto"/>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+0.063 [0.025, 0.097]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+0.063 [0.034, 0.091]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+0.076 [0.050, 0.095]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0.585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0.618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+0.033 [0.026, 0.041]</w:t>
            </w:r>
          </w:p>
        </w:tc>
      </w:tr>
    </w:tbl>
    <w:bookmarkEnd w:id="32"/>
    <w:bookmarkStart w:id="36"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4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053243"/>
            <wp:effectExtent b="0" l="0" r="0" t="0"/>
            <wp:docPr descr="threshold sensitivity" title="" id="34" name="Picture"/>
            <a:graphic>
              <a:graphicData uri="http://schemas.openxmlformats.org/drawingml/2006/picture">
                <pic:pic>
                  <pic:nvPicPr>
                    <pic:cNvPr descr="assets/e4_threshold_sweep_nih22k.png" id="35" name="Picture"/>
                    <pic:cNvPicPr>
                      <a:picLocks noChangeArrowheads="1" noChangeAspect="1"/>
                    </pic:cNvPicPr>
                  </pic:nvPicPr>
                  <pic:blipFill>
                    <a:blip r:embed="rId33"/>
                    <a:stretch>
                      <a:fillRect/>
                    </a:stretch>
                  </pic:blipFill>
                  <pic:spPr bwMode="auto">
                    <a:xfrm>
                      <a:off x="0" y="0"/>
                      <a:ext cx="5943600" cy="2053243"/>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Threshold sensitivity. Rejection rate and retained performance as a function of the calibration percentile.</w:t>
      </w:r>
    </w:p>
    <w:bookmarkEnd w:id="36"/>
    <w:bookmarkStart w:id="40"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spatially. Predictions near a decision boundary are expected to be more sensitive to small input perturbations than confident predictions, so the activation that drives a confident prediction should be more spatially concentrated. Grad-CAM provides this view (Figure 5):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38" name="Picture"/>
            <a:graphic>
              <a:graphicData uri="http://schemas.openxmlformats.org/drawingml/2006/picture">
                <pic:pic>
                  <pic:nvPicPr>
                    <pic:cNvPr descr="assets/e5_gradcam_nih.png" id="39" name="Picture"/>
                    <pic:cNvPicPr>
                      <a:picLocks noChangeArrowheads="1" noChangeAspect="1"/>
                    </pic:cNvPicPr>
                  </pic:nvPicPr>
                  <pic:blipFill>
                    <a:blip r:embed="rId37"/>
                    <a:stretch>
                      <a:fillRect/>
                    </a:stretch>
                  </pic:blipFill>
                  <pic:spPr bwMode="auto">
                    <a:xfrm>
                      <a:off x="0" y="0"/>
                      <a:ext cx="5943600" cy="418882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5:</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 complementing the aggregate selective-prediction metrics.</w:t>
      </w:r>
    </w:p>
    <w:bookmarkEnd w:id="40"/>
    <w:bookmarkEnd w:id="41"/>
    <w:bookmarkStart w:id="4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42"/>
    <w:bookmarkStart w:id="4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3"/>
    <w:bookmarkStart w:id="4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44"/>
    <w:bookmarkStart w:id="45"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45"/>
    <w:bookmarkStart w:id="46" w:name="reference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jc w:val="left"/>
        <w:keepNext w:val="0"/>
        <w:keepLines w:val="0"/>
        <w:widowControl w:val="1"/>
      </w:pP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jc w:val="left"/>
        <w:keepNext w:val="0"/>
        <w:keepLines w:val="0"/>
        <w:widowControl w:val="1"/>
      </w:pP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Rajpurkar, P., et al. (2017). CheXNet: Radiologist-level pneumonia detection on chest X-rays with deep learning. arXiv:1711.05225.</w:t>
      </w:r>
    </w:p>
    <w:p>
      <w:pPr>
        <w:pStyle w:val="ReferenceEntry"/>
        <w:numPr>
          <w:ilvl w:val="0"/>
          <w:numId w:val="1001"/>
        </w:numPr>
        <w:jc w:val="left"/>
        <w:keepNext w:val="0"/>
        <w:keepLines w:val="0"/>
        <w:widowControl w:val="1"/>
      </w:pP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jc w:val="left"/>
        <w:keepNext w:val="0"/>
        <w:keepLines w:val="0"/>
        <w:widowControl w:val="1"/>
      </w:pP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jc w:val="left"/>
        <w:keepNext w:val="0"/>
        <w:keepLines w:val="0"/>
        <w:widowControl w:val="1"/>
      </w:pP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jc w:val="left"/>
        <w:keepNext w:val="0"/>
        <w:keepLines w:val="0"/>
        <w:widowControl w:val="1"/>
      </w:pP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jc w:val="left"/>
        <w:keepNext w:val="0"/>
        <w:keepLines w:val="0"/>
        <w:widowControl w:val="1"/>
      </w:pPr>
      <w:r>
        <w:t xml:space="preserve">Cohen, J. P., Viviano, J., Morrison, P., Brooks, R., Hashir, M., Bertrand, H. (2020). TorchXRayVision: A library of chest X-ray datasets and models.</w:t>
      </w:r>
    </w:p>
    <w:p>
      <w:pPr>
        <w:pStyle w:val="ReferenceEntry"/>
        <w:numPr>
          <w:ilvl w:val="0"/>
          <w:numId w:val="1001"/>
        </w:numPr>
        <w:jc w:val="left"/>
        <w:keepNext w:val="0"/>
        <w:keepLines w:val="0"/>
        <w:widowControl w:val="1"/>
      </w:pPr>
      <w:r>
        <w:t xml:space="preserve">Wang, X., et al. (2017). ChestX-ray8.</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Johnson, A. E., et al. (2019). MIMIC-CXR-JPG, a large publicly available database of labeled chest radiographs. arXiv:1901.07042.</w:t>
      </w:r>
    </w:p>
    <w:p>
      <w:pPr>
        <w:pStyle w:val="ReferenceEntry"/>
        <w:numPr>
          <w:ilvl w:val="0"/>
          <w:numId w:val="1001"/>
        </w:numPr>
        <w:jc w:val="left"/>
        <w:keepNext w:val="0"/>
        <w:keepLines w:val="0"/>
        <w:widowControl w:val="1"/>
      </w:pP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jc w:val="left"/>
        <w:keepNext w:val="0"/>
        <w:keepLines w:val="0"/>
        <w:widowControl w:val="1"/>
      </w:pP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jc w:val="left"/>
        <w:keepNext w:val="0"/>
        <w:keepLines w:val="0"/>
        <w:widowControl w:val="1"/>
      </w:pPr>
      <w:r>
        <w:t xml:space="preserve">Goodfellow, I. J., Shlens, J., Szegedy, C. (2014). Explaining and harnessing adversarial examples. arXiv:1412.6572.</w:t>
      </w:r>
    </w:p>
    <w:p>
      <w:pPr>
        <w:pStyle w:val="ReferenceEntry"/>
        <w:numPr>
          <w:ilvl w:val="0"/>
          <w:numId w:val="1001"/>
        </w:numPr>
        <w:jc w:val="left"/>
        <w:keepNext w:val="0"/>
        <w:keepLines w:val="0"/>
        <w:widowControl w:val="1"/>
      </w:pP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jc w:val="left"/>
        <w:keepNext w:val="0"/>
        <w:keepLines w:val="0"/>
        <w:widowControl w:val="1"/>
      </w:pP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jc w:val="left"/>
        <w:keepNext w:val="0"/>
        <w:keepLines w:val="0"/>
        <w:widowControl w:val="1"/>
      </w:pPr>
      <w:r>
        <w:t xml:space="preserve">Levy, D., et al. (2026). From Cold Start to Active Learning: Embedding-Based Scan Selection for Medical Image Segmentation. arXiv:2601.18532.</w:t>
      </w:r>
    </w:p>
    <w:p>
      <w:pPr>
        <w:pStyle w:val="ReferenceEntry"/>
        <w:numPr>
          <w:ilvl w:val="0"/>
          <w:numId w:val="1001"/>
        </w:numPr>
        <w:jc w:val="left"/>
        <w:keepNext w:val="0"/>
        <w:keepLines w:val="0"/>
        <w:widowControl w:val="1"/>
      </w:pP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jc w:val="left"/>
        <w:keepNext w:val="0"/>
        <w:keepLines w:val="0"/>
        <w:widowControl w:val="1"/>
      </w:pP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jc w:val="left"/>
        <w:keepNext w:val="0"/>
        <w:keepLines w:val="0"/>
        <w:widowControl w:val="1"/>
      </w:pP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jc w:val="left"/>
        <w:keepNext w:val="0"/>
        <w:keepLines w:val="0"/>
        <w:widowControl w:val="1"/>
      </w:pP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jc w:val="left"/>
        <w:keepNext w:val="0"/>
        <w:keepLines w:val="0"/>
        <w:widowControl w:val="1"/>
      </w:pP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jc w:val="left"/>
        <w:keepNext w:val="0"/>
        <w:keepLines w:val="0"/>
        <w:widowControl w:val="1"/>
      </w:pP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jc w:val="left"/>
        <w:keepNext w:val="0"/>
        <w:keepLines w:val="0"/>
        <w:widowControl w:val="1"/>
      </w:pP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jc w:val="left"/>
        <w:keepNext w:val="0"/>
        <w:keepLines w:val="0"/>
        <w:widowControl w:val="1"/>
      </w:pP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jc w:val="left"/>
        <w:keepNext w:val="0"/>
        <w:keepLines w:val="0"/>
        <w:widowControl w:val="1"/>
      </w:pP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jc w:val="left"/>
        <w:keepNext w:val="0"/>
        <w:keepLines w:val="0"/>
        <w:widowControl w:val="1"/>
      </w:pP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jc w:val="left"/>
        <w:keepNext w:val="0"/>
        <w:keepLines w:val="0"/>
        <w:widowControl w:val="1"/>
      </w:pP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jc w:val="left"/>
        <w:keepNext w:val="0"/>
        <w:keepLines w:val="0"/>
        <w:widowControl w:val="1"/>
      </w:pP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jc w:val="left"/>
        <w:keepNext w:val="0"/>
        <w:keepLines w:val="0"/>
        <w:widowControl w:val="1"/>
      </w:pP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jc w:val="left"/>
        <w:keepNext w:val="0"/>
        <w:keepLines w:val="0"/>
        <w:widowControl w:val="1"/>
      </w:pP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jc w:val="left"/>
        <w:keepNext w:val="0"/>
        <w:keepLines w:val="0"/>
        <w:widowControl w:val="1"/>
      </w:pP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jc w:val="left"/>
        <w:keepNext w:val="0"/>
        <w:keepLines w:val="0"/>
        <w:widowControl w:val="1"/>
      </w:pP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46"/>
    <w:bookmarkEnd w:id="4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3" Type="http://schemas.openxmlformats.org/officeDocument/2006/relationships/image" Target="media/rId33.png"/><Relationship Id="rId37" Type="http://schemas.openxmlformats.org/officeDocument/2006/relationships/image" Target="media/rId37.png"/><Relationship Id="rId10" Type="http://schemas.openxmlformats.org/officeDocument/2006/relationships/image" Target="media/rId10.png"/><Relationship Id="rId24" Type="http://schemas.openxmlformats.org/officeDocument/2006/relationships/image" Target="media/rId2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2026-06-02T17:25:37Z</dcterms:created>
  <dcterms:modified xsi:type="dcterms:W3CDTF">2026-06-02T17:25:37Z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