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and MIMIC-CXR,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and on an independently trained model. A leave-one-dataset-out evaluation shows that, although domain shift lowers discrimination, deferral improves retained balanced accuracy on the unseen source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between NIH ChestX-ray14 and MIMIC-CXR.</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for the four target pathologies. The dataset is imbalanced, with higher prevalence of Cardiomegaly and Effusion than the rarer Edema and Consolidation, and a substantial number of images carry multiple positive labels.</w:t>
      </w:r>
    </w:p>
    <w:tbl>
      <w:tblPr>
        <w:tblStyle w:val="Table"/>
        <w:tblW w:type="pct" w:w="5000"/>
        <w:jc w:val="center"/>
        <w:tblLook w:firstRow="1" w:lastRow="0" w:firstColumn="0" w:lastColumn="0" w:noHBand="0" w:noVBand="0" w:val="0020"/>
        <w:tblCaption w:val="Table 1: Class distribution for the four target pathologies. The dataset is imbalanced, with higher prevalence of Cardiomegaly and Effusion than the rarer Edema and Consolidation, and a substantial number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3.1</w:t>
            </w:r>
          </w:p>
        </w:tc>
      </w:tr>
    </w:tbl>
    <w:p>
      <w:pPr>
        <w:pStyle w:val="BodyText"/>
        <w:jc w:val="center"/>
        <w:keepNext/>
        <w:keepLines/>
        <w:widowControl w:val="1"/>
      </w:pPr>
      <w:r>
        <w:drawing>
          <wp:inline>
            <wp:extent cx="5943600" cy="166289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166289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2:</w:t>
      </w:r>
      <w:r>
        <w:rPr>
          <w:b w:val="0"/>
          <w:i/>
        </w:rPr>
        <w:t xml:space="preserve"> </w:t>
      </w:r>
      <w:r>
        <w:rPr>
          <w:b w:val="0"/>
          <w:i/>
          <w:highlight w:val="green"/>
        </w:rPr>
        <w:t>Representative frontal chest radiographs for the four target pathologies, each shown for a case in which the corresponding label is present, illustrating the visual diversity and diagnostic subtlety of the findings.</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and 1,155 MIMIC-CXR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the same calibrated-threshold analysis yields supported balanced-accuracy gains for three of the four pathologies (Cardiomegaly +0.080 [0.039, 0.122], Effusion +0.064 [0.039, 0.097], Edema +0.090 [0.036, 0.144]; 95% confidence intervals excluding zero), and an independently trained weighted-BCE DenseNet-121 (Section 3.3; validation macro-AUC 0.85) reproduces the improvement across all four pathologies, with balanced-accuracy gains at a coverage of 0.70 of Cardiomegaly 0.78 to 0.90, Effusion 0.78 to 0.85, Edema 0.80 to 0.92, and Consolidation 0.66 to 0.72, indicating the effect is not specific to one backbone or dataset.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p>
      <w:pPr>
        <w:pStyle w:val="BodyText"/>
        <w:spacing w:before="16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Selective prediction therefore provides a safeguard precisely where it is most needed, on out-of-distribution inputs.</w:t>
      </w:r>
    </w:p>
    <w:p>
      <w:pPr>
        <w:spacing w:before="16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[0.025, 0.097]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[0.034, 0.091]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+0.076 [0.050, 0.095]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0.585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+0.033 [0.026, 0.041]</w:t>
            </w:r>
          </w:p>
        </w:tc>
      </w:tr>
    </w:tbl>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pStyle w:val="BodyText"/>
        <w:jc w:val="center"/>
        <w:keepNext/>
        <w:keepLines/>
        <w:widowControl w:val="1"/>
      </w:pPr>
      <w:r>
        <w:drawing>
          <wp:inline>
            <wp:extent cx="4632960" cy="6949440"/>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4632960" cy="69494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5943600" cy="418882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2026-06-02T17:52:15Z</dcterms:created>
  <dcterms:modified xsi:type="dcterms:W3CDTF">2026-06-02T17:52:15Z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