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Across three large public datasets (PadChest,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characterizes selective behaviour under domain shift.</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Introduction</w:t>
      </w:r>
    </w:p>
    <w:p>
      <w:pPr>
        <w:pStyle w:val="FirstParagraph"/>
        <w:ind w:left="720" w:right="720" w:firstLine="0"/>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ind w:left="720" w:right="720" w:firstLine="0"/>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ind w:left="720" w:right="720" w:firstLine="0"/>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ind w:left="720" w:right="720" w:firstLine="0"/>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ind w:left="720" w:right="720" w:firstLine="0"/>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ind w:left="720" w:right="720" w:firstLine="0"/>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PadChest, NIH ChestX-ray14, and MIMIC-CXR.</w:t>
      </w:r>
    </w:p>
    <w:p>
      <w:pPr>
        <w:pStyle w:val="BodyText"/>
        <w:ind w:left="720" w:right="720" w:firstLine="0"/>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3"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18"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bookmarkEnd w:id="18"/>
    <w:bookmarkStart w:id="19"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19"/>
    <w:bookmarkStart w:id="20"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resized to 224x224 and normalized following the backbone convention; the calibration and evaluation splits are patient-level, and random seeds are fixed for reproducibility.</w:t>
      </w:r>
    </w:p>
    <w:bookmarkEnd w:id="20"/>
    <w:bookmarkStart w:id="21"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1"/>
    <w:bookmarkStart w:id="22"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4)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2"/>
    <w:bookmarkEnd w:id="23"/>
    <w:bookmarkStart w:id="41"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 The backbone attains per-pathology discrimination in the range of AUC 0.79 to 0.91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27"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5" name="Picture"/>
            <a:graphic>
              <a:graphicData uri="http://schemas.openxmlformats.org/drawingml/2006/picture">
                <pic:pic>
                  <pic:nvPicPr>
                    <pic:cNvPr descr="assets/selective_bacc_nih22k.png" id="26" name="Picture"/>
                    <pic:cNvPicPr>
                      <a:picLocks noChangeArrowheads="1" noChangeAspect="1"/>
                    </pic:cNvPicPr>
                  </pic:nvPicPr>
                  <pic:blipFill>
                    <a:blip r:embed="rId24"/>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Selective balanced accuracy as a function of coverage for each pathology. Balanced accuracy increases as the most uncertain predictions are deferred.</w:t>
      </w:r>
    </w:p>
    <w:bookmarkEnd w:id="27"/>
    <w:bookmarkStart w:id="31"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3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29" name="Picture"/>
            <a:graphic>
              <a:graphicData uri="http://schemas.openxmlformats.org/drawingml/2006/picture">
                <pic:pic>
                  <pic:nvPicPr>
                    <pic:cNvPr descr="assets/e1_risk_coverage_nih22k.png" id="30" name="Picture"/>
                    <pic:cNvPicPr>
                      <a:picLocks noChangeArrowheads="1" noChangeAspect="1"/>
                    </pic:cNvPicPr>
                  </pic:nvPicPr>
                  <pic:blipFill>
                    <a:blip r:embed="rId28"/>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Risk-coverage curves per pathology. The retained-prediction performance is traced against coverage as the entropy threshold varies.</w:t>
      </w:r>
    </w:p>
    <w:bookmarkEnd w:id="31"/>
    <w:bookmarkStart w:id="32"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bookmarkEnd w:id="32"/>
    <w:bookmarkStart w:id="36"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4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4" name="Picture"/>
            <a:graphic>
              <a:graphicData uri="http://schemas.openxmlformats.org/drawingml/2006/picture">
                <pic:pic>
                  <pic:nvPicPr>
                    <pic:cNvPr descr="assets/e4_threshold_sweep_nih22k.png" id="35" name="Picture"/>
                    <pic:cNvPicPr>
                      <a:picLocks noChangeArrowheads="1" noChangeAspect="1"/>
                    </pic:cNvPicPr>
                  </pic:nvPicPr>
                  <pic:blipFill>
                    <a:blip r:embed="rId33"/>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Threshold sensitivity. Rejection rate and retained performance as a function of the calibration percentile.</w:t>
      </w:r>
    </w:p>
    <w:bookmarkEnd w:id="36"/>
    <w:bookmarkStart w:id="40"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Model behavior around uncertain regions can be illustrated using input gradients, which capture the local sensitivity of predictions to small changes in the image. Confident predictions are expected to exhibit local smoothness, whereas predictions near a decision boundary are more likely to demonstrate elevated sensitivity. We compute input gradients for each image and recompute them after applying low-variance white Gaussian noise, quantifying gradient volatility using the signal-to-noise ratio between the original and perturbed maps. Rejected cases exhibit substantial gradient changes under minimal perturbations, indicating an unstable decision surface, whereas accepted cases show consistent gradient patterns.</w:t>
      </w:r>
    </w:p>
    <w:p>
      <w:pPr>
        <w:pStyle w:val="BodyText"/>
        <w:jc w:val="center"/>
        <w:keepNext/>
        <w:keepLines/>
        <w:widowControl w:val="1"/>
      </w:pPr>
      <w:r>
        <w:drawing>
          <wp:inline>
            <wp:extent cx="5943600" cy="3141617"/>
            <wp:effectExtent b="0" l="0" r="0" t="0"/>
            <wp:docPr descr="Grad-CAM borderline vs confident" title="" id="38" name="Picture"/>
            <a:graphic>
              <a:graphicData uri="http://schemas.openxmlformats.org/drawingml/2006/picture">
                <pic:pic>
                  <pic:nvPicPr>
                    <pic:cNvPr descr="assets/e5_gradcam_nih.png" id="39" name="Picture"/>
                    <pic:cNvPicPr>
                      <a:picLocks noChangeArrowheads="1" noChangeAspect="1"/>
                    </pic:cNvPicPr>
                  </pic:nvPicPr>
                  <pic:blipFill>
                    <a:blip r:embed="rId37"/>
                    <a:stretch>
                      <a:fillRect/>
                    </a:stretch>
                  </pic:blipFill>
                  <pic:spPr bwMode="auto">
                    <a:xfrm>
                      <a:off x="0" y="0"/>
                      <a:ext cx="5943600" cy="3141617"/>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5:</w:t>
      </w:r>
      <w:r>
        <w:rPr>
          <w:b w:val="0"/>
          <w:i/>
        </w:rPr>
        <w:t xml:space="preserve"> </w:t>
      </w:r>
      <w:r>
        <w:rPr>
          <w:b w:val="0"/>
          <w:i/>
          <w:highlight w:val="green"/>
        </w:rPr>
        <w:t>Grad-CAM overlays for confident accepted cases (top) and borderline rejected cases (bottom) for each pathology. Accepted cases localize on the relevant anatomy, while rejected cases show diffuse or unstable activation, complementing the gradient-volatility analysis.</w:t>
      </w:r>
    </w:p>
    <w:bookmarkEnd w:id="40"/>
    <w:bookmarkEnd w:id="41"/>
    <w:bookmarkStart w:id="4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or low-prevalence findings such as Edema and Consolidation.</w:t>
      </w:r>
      <w:r>
        <w:t xml:space="preserve"> </w:t>
      </w:r>
      <w:r>
        <w:rPr>
          <w:highlight w:val="green"/>
        </w:rPr>
        <w:t xml:space="preserve">A leave-one-dataset-out evaluation quantifies the domain-shift penalty and shows the regime in which selective prediction is most valuable, since abstaining on uncertain cases reduces the risk associated with out-of-distribution inputs while preserving reliable predictions.</w:t>
      </w:r>
      <w:r>
        <w:t xml:space="preserve"> </w:t>
      </w:r>
      <w:r>
        <w:t xml:space="preserve">Together these findings support uncertainty-aware selective prediction as a route to safer, more trustworthy AI-assisted diagnosis.</w:t>
      </w:r>
    </w:p>
    <w:bookmarkEnd w:id="42"/>
    <w:bookmarkStart w:id="4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3"/>
    <w:bookmarkStart w:id="4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4"/>
    <w:bookmarkStart w:id="4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5"/>
    <w:bookmarkStart w:id="46"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6"/>
    <w:bookmarkEnd w:id="4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37" Type="http://schemas.openxmlformats.org/officeDocument/2006/relationships/image" Target="media/rId37.png"/><Relationship Id="rId10" Type="http://schemas.openxmlformats.org/officeDocument/2006/relationships/image" Target="media/rId10.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2026-06-02T16:40:52Z</dcterms:created>
  <dcterms:modified xsi:type="dcterms:W3CDTF">2026-06-02T16:40:52Z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