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JouleFlex</w:t>
      </w:r>
      <w:r>
        <w:t xml:space="preserve"> </w:t>
      </w:r>
      <w:r>
        <w:t xml:space="preserve">proposal</w:t>
      </w:r>
    </w:p>
    <w:bookmarkStart w:id="20" w:name="title-researchers-and-institution"/>
    <w:p>
      <w:pPr>
        <w:pStyle w:val="Heading2"/>
        <w:pBdr>
          <w:bottom w:val="single" w:sz="6" w:space="2" w:color="C8C8C8"/>
        </w:pBdr>
      </w:pPr>
      <w:r>
        <w:t xml:space="preserve">2.5.1 Title, researchers and institution</w:t>
      </w:r>
    </w:p>
    <w:p>
      <w:pPr>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pStyle w:val="Heading1"/>
      </w:pPr>
      <w:r>
        <w:t xml:space="preserve">JouleFlex: A Model-Based Decision and Control Framework for Maximizing Useful AI Work under Dynamic Power Limits</w:t>
      </w:r>
    </w:p>
    <w:p>
      <w:pPr>
        <w:pStyle w:val="FirstParagraph"/>
        <w:bidi/>
        <w:jc w:val="both"/>
      </w:pPr>
      <w:r>
        <w:rPr>
          <w:rtl/>
        </w:rPr>
        <w:t xml:space="preserve">JouleFlex: מודלים ובקרה חכמה למקסום תפוקת AI תחת מגבלות הספק משתנות</w:t>
      </w:r>
    </w:p>
    <w:p>
      <w:pPr>
        <w:pStyle w:val="BodyText"/>
        <w:bidi/>
        <w:jc w:val="both"/>
      </w:pPr>
      <w:r>
        <w:rPr>
          <w:b/>
          <w:bCs/>
          <w:rtl/>
        </w:rPr>
        <w:t xml:space="preserve">Principal Investigator (מנהל הפרויקט):</w:t>
      </w:r>
      <w:r>
        <w:rPr>
          <w:rtl/>
        </w:rPr>
        <w:t xml:space="preserve"> </w:t>
      </w:r>
      <w:r>
        <w:rPr>
          <w:rtl/>
        </w:rPr>
        <w:t xml:space="preserve">Alexander Apartsin, Senior Lecturer, Department of Computer Science ·</w:t>
      </w:r>
      <w:r>
        <w:rPr>
          <w:rtl/>
        </w:rPr>
        <w:t xml:space="preserve"> </w:t>
      </w:r>
      <w:r>
        <w:rPr>
          <w:b/>
          <w:bCs/>
          <w:rtl/>
        </w:rPr>
        <w:t xml:space="preserve">Institution:</w:t>
      </w:r>
      <w:r>
        <w:rPr>
          <w:rtl/>
        </w:rPr>
        <w:t xml:space="preserve"> </w:t>
      </w:r>
      <w:r>
        <w:rPr>
          <w:rtl/>
        </w:rPr>
        <w:t xml:space="preserve">Holon Institute of Technology (HIT)</w:t>
      </w:r>
    </w:p>
    <w:bookmarkEnd w:id="21"/>
    <w:bookmarkStart w:id="24" w:name="abstract-תקציר"/>
    <w:p>
      <w:pPr>
        <w:pStyle w:val="Heading2"/>
        <w:pBdr>
          <w:bottom w:val="single" w:sz="6" w:space="2" w:color="C8C8C8"/>
        </w:pBdr>
        <w:bidi/>
        <w:jc w:val="right"/>
      </w:pPr>
      <w:r>
        <w:rPr>
          <w:rtl/>
        </w:rPr>
        <w:t xml:space="preserve">2.5.2 Abstract / תקציר</w:t>
      </w:r>
    </w:p>
    <w:bookmarkStart w:id="22" w:name="english-300300-words"/>
    <w:p>
      <w:pPr>
        <w:pStyle w:val="Heading3"/>
      </w:pPr>
      <w:r>
        <w:t xml:space="preserve">English (300/300 words)</w:t>
      </w:r>
    </w:p>
    <w:p>
      <w:pPr>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 capped GPU computes slower and pays its fixed power floor longer, so energy per unit of useful work can rise even as the meter shows fewer watts: less AI per kilowatt-hour. A similar challenge exists in aviation, where it is solved: fuel flow rises far faster than speed, yet slow flight burns fuel longer, so airlines cruise at the speed minimizing fuel per kilometer.</w:t>
      </w:r>
    </w:p>
    <w:p>
      <w:pPr>
        <w:pStyle w:val="BodyText"/>
        <w:jc w:val="both"/>
      </w:pPr>
      <w:r>
        <w:t xml:space="preserve">The PI's recent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(only scheduling simulated) served equal work with 18 to 45 percent less energy.</w:t>
      </w:r>
    </w:p>
    <w:p>
      <w:pPr>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dispatchable power headroom for Israel’s flexible-connection scheme.</w:t>
      </w:r>
    </w:p>
    <w:bookmarkEnd w:id="22"/>
    <w:bookmarkStart w:id="23" w:name="עברית-300300-מילים"/>
    <w:p>
      <w:pPr>
        <w:pStyle w:val="Heading3"/>
        <w:bidi/>
        <w:jc w:val="right"/>
      </w:pPr>
      <w:r>
        <w:rPr>
          <w:rtl/>
        </w:rPr>
        <w:t xml:space="preserve">עברית (300/300 מילים)</w:t>
      </w:r>
    </w:p>
    <w:p>
      <w:pPr>
        <w:pStyle w:val="FirstParagraph"/>
        <w:bidi/>
        <w:jc w:val="both"/>
      </w:pPr>
      <w:r>
        <w:rPr>
          <w:rtl/>
        </w:rPr>
        <w:t xml:space="preserve">ביולי 2026 הקפיאה רשות החשמל בקשות חיבור חדשות של מרכזי נתונים לאחר שהתור הגיע ל-27,000 מגה-ואט. כאשר אספקת החשמל מוגבלת, מרכזי נתונים מכבים מעבדי GPU (מעבדי בינה מלאכותית) או קובעים להם תקרת הספק; ההחלטות מתקבלות בוואטים, ההספק הרגעי, ולא בג'ולים, האנרגיה הנצרכת. מעבד GPU תחת תקרת הספק מחשב לאט יותר וצורך את הספק הבסיס הקבוע שלו זמן ממושך יותר; לכן האנרגיה ליחידת חישוב מועיל עלולה לעלות אף שהמונה מציג פחות ואטים: פחות בינה מלאכותית לכל קילוואט-שעה. אתגר דומה קיים בתעופה, ושם הוא נפתר: קצב צריכת הדלק עולה מהר בהרבה מן המהירות, אך טיסה איטית שורפת דלק זמן רב יותר; לכן חברות התעופה משייטות במהירות הממזערת את צריכת הדלק לקילומטר.</w:t>
      </w:r>
    </w:p>
    <w:p>
      <w:pPr>
        <w:pStyle w:val="BodyText"/>
        <w:bidi/>
        <w:jc w:val="both"/>
      </w:pPr>
      <w:r>
        <w:rPr>
          <w:rtl/>
        </w:rPr>
        <w:t xml:space="preserve">מחקר שערך לאחרונה החוקר הראשי [1] מדד את יחסי הגומלין בין זמן להספק בעומסי בינה מלאכותית (5,500 מדידות, 20 מודלים, ארבעה מעבדי GPU). האנרגיה למשימה מתארת עקומת U כתלות בתקרת ההספק. בכרטיסים הגדולים נקודת המינימום שלה, נקודת הג'ול (Joule Point; JP), מצויה ב-43 עד 46 אחוזים מההספק הנקוב; החזקת כרטיס בנקודה זו הפחיתה את האנרגיה למשימה ב-29 עד 31 אחוזים בעוד זמן הריצה התארך פי 1.2. אף תחת מועד קשיח, הגבלת ההספק חסכה 28 אחוזים מהאנרגיה תוך שמירת 95 אחוזים מערך העבודה. סימולציית צי על העקומות שנמדדו (רק התזמון מדומה) סיפקה כמות עבודה שווה בצריכת אנרגיה נמוכה ב-18 עד 45 אחוזים.</w:t>
      </w:r>
    </w:p>
    <w:p>
      <w:pPr>
        <w:pStyle w:val="BodyText"/>
        <w:bidi/>
        <w:jc w:val="both"/>
      </w:pPr>
      <w:r>
        <w:rPr>
          <w:rtl/>
        </w:rPr>
        <w:t xml:space="preserve">תובנות אלה משנות את האופן שבו מתוכננים, מנוהלים ומתומחרים מרכזי נתונים לבינה מלאכותית, ומעלות החלטות שאף כלי קיים אינו תומך בהן: כיצד לתכנן צי מוכן-לחיבור-גמיש שכרטיסיו פועלים סמוך ל-JP; כיצד למדוד ולחזות את ה-JP עבור עבודות וכרטיסים חדשים; וכיצד לתמחר את השירות באופן המתמרץ לקוחות להתייעל, במקום החיוב השעתי המתגמל את נקודת ההפעלה הגרועה ביותר אנרגטית. כל אחת מהן היא בעיית מידול. הפרויקט יספק את ערכת התמיכה בהחלטות העונה על שלושתן, שתשוחרר עם מסד מדידות פתוח. צי הפועל סמוך ל-JP משחרר עתודת הספק זמינה לניצול עבור הסדר החיבור הגמיש של ישראל.</w:t>
      </w:r>
    </w:p>
    <w:bookmarkEnd w:id="23"/>
    <w:bookmarkEnd w:id="24"/>
    <w:bookmarkStart w:id="25" w:name="glossary"/>
    <w:p>
      <w:pPr>
        <w:pStyle w:val="Heading2"/>
        <w:pBdr>
          <w:bottom w:val="single" w:sz="6" w:space="2" w:color="C8C8C8"/>
        </w:pBdr>
      </w:pPr>
      <w: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Term</w:t>
            </w:r>
          </w:p>
        </w:tc>
        <w:tc>
          <w:tcPr/>
          <w:p>
            <w:pPr>
              <w:pStyle w:val="Compact"/>
              <w:jc w:val="both"/>
            </w:pPr>
            <w:r>
              <w:t xml:space="preserve">Meaning</w:t>
            </w:r>
          </w:p>
        </w:tc>
      </w:tr>
      <w:tr>
        <w:tc>
          <w:tcPr/>
          <w:p>
            <w:pPr>
              <w:pStyle w:val="Compact"/>
              <w:jc w:val="both"/>
            </w:pPr>
            <w:r>
              <w:t xml:space="preserve">Power</w:t>
            </w:r>
          </w:p>
        </w:tc>
        <w:tc>
          <w:tcPr/>
          <w:p>
            <w:pPr>
              <w:pStyle w:val="Compact"/>
              <w:jc w:val="both"/>
            </w:pPr>
            <w:r>
              <w:t xml:space="preserve">How fast electricity is drawn at a given moment; watts (W) or megawatts (MW). The grid connection is sized by peak power.</w:t>
            </w:r>
          </w:p>
        </w:tc>
      </w:tr>
      <w:tr>
        <w:tc>
          <w:tcPr/>
          <w:p>
            <w:pPr>
              <w:pStyle w:val="Compact"/>
              <w:jc w:val="both"/>
            </w:pPr>
            <w:r>
              <w:t xml:space="preserve">Energy</w:t>
            </w:r>
          </w:p>
        </w:tc>
        <w:tc>
          <w:tcPr/>
          <w:p>
            <w:pPr>
              <w:pStyle w:val="Compact"/>
              <w:jc w:val="both"/>
            </w:pPr>
            <w:r>
              <w:t xml:space="preserve">The total electricity consumed: power × time; joules or kilowatt-hours. The bill and the carbon footprint are set by energy.</w:t>
            </w:r>
          </w:p>
        </w:tc>
      </w:tr>
      <w:tr>
        <w:tc>
          <w:tcPr/>
          <w:p>
            <w:pPr>
              <w:pStyle w:val="Compact"/>
              <w:jc w:val="both"/>
            </w:pPr>
            <w:r>
              <w:t xml:space="preserve">Power cap</w:t>
            </w:r>
          </w:p>
        </w:tc>
        <w:tc>
          <w:tcPr/>
          <w:p>
            <w:pPr>
              <w:pStyle w:val="Compact"/>
              <w:jc w:val="both"/>
            </w:pPr>
            <w:r>
              <w:t xml:space="preserve">A software limit on a GPU's power draw. Set with one command; takes effect in ~0.2 seconds. The control knob of this project.</w:t>
            </w:r>
          </w:p>
        </w:tc>
      </w:tr>
      <w:tr>
        <w:tc>
          <w:tcPr/>
          <w:p>
            <w:pPr>
              <w:pStyle w:val="Compact"/>
              <w:jc w:val="both"/>
            </w:pPr>
            <w:r>
              <w:t xml:space="preserve">TDP</w:t>
            </w:r>
          </w:p>
        </w:tc>
        <w:tc>
          <w:tcPr/>
          <w:p>
            <w:pPr>
              <w:pStyle w:val="Compact"/>
              <w:jc w:val="both"/>
            </w:pPr>
            <w:r>
              <w:t xml:space="preserve">A GPU's full rated power. Running at TDP is today's default.</w:t>
            </w:r>
          </w:p>
        </w:tc>
      </w:tr>
      <w:tr>
        <w:tc>
          <w:tcPr/>
          <w:p>
            <w:pPr>
              <w:pStyle w:val="Compact"/>
              <w:jc w:val="both"/>
            </w:pPr>
            <w:r>
              <w:t xml:space="preserve">Joule Point (JP)</w:t>
            </w:r>
          </w:p>
        </w:tc>
        <w:tc>
          <w:tcPr/>
          <w:p>
            <w:pPr>
              <w:pStyle w:val="Compact"/>
              <w:jc w:val="both"/>
            </w:pPr>
            <w:r>
              <w:t xml:space="preserve">The power cap at which energy per task is lowest for a given card; measured at 43–46% of TDP on large GPUs.</w:t>
            </w:r>
          </w:p>
        </w:tc>
      </w:tr>
      <w:tr>
        <w:tc>
          <w:tcPr/>
          <w:p>
            <w:pPr>
              <w:pStyle w:val="Compact"/>
              <w:jc w:val="both"/>
            </w:pPr>
            <w:r>
              <w:t xml:space="preserve">Operating point</w:t>
            </w:r>
          </w:p>
        </w:tc>
        <w:tc>
          <w:tcPr/>
          <w:p>
            <w:pPr>
              <w:pStyle w:val="Compact"/>
              <w:jc w:val="both"/>
            </w:pPr>
            <w:r>
              <w:t xml:space="preserve">The pair (GPU, power cap) a job runs at.</w:t>
            </w:r>
          </w:p>
        </w:tc>
      </w:tr>
      <w:tr>
        <w:tc>
          <w:tcPr/>
          <w:p>
            <w:pPr>
              <w:pStyle w:val="Compact"/>
              <w:jc w:val="both"/>
            </w:pPr>
            <w:r>
              <w:t xml:space="preserve">Power envelope</w:t>
            </w:r>
          </w:p>
        </w:tc>
        <w:tc>
          <w:tcPr/>
          <w:p>
            <w:pPr>
              <w:pStyle w:val="Compact"/>
              <w:jc w:val="both"/>
            </w:pPr>
            <w:r>
              <w:t xml:space="preserve">A limit on a facility's total power draw that can change over time, set by a budget, a price or carbon signal, or a grid instruction.</w:t>
            </w:r>
          </w:p>
        </w:tc>
      </w:tr>
      <w:tr>
        <w:tc>
          <w:tcPr/>
          <w:p>
            <w:pPr>
              <w:pStyle w:val="Compact"/>
              <w:jc w:val="both"/>
            </w:pPr>
            <w:r>
              <w:t xml:space="preserve">Power shaping</w:t>
            </w:r>
          </w:p>
        </w:tc>
        <w:tc>
          <w:tcPr/>
          <w:p>
            <w:pPr>
              <w:pStyle w:val="Compact"/>
              <w:jc w:val="both"/>
            </w:pPr>
            <w:r>
              <w:t xml:space="preserve">Keeping a fleet inside a power envelope by capping jobs, like traffic shaping in networks.</w:t>
            </w:r>
          </w:p>
        </w:tc>
      </w:tr>
      <w:tr>
        <w:tc>
          <w:tcPr/>
          <w:p>
            <w:pPr>
              <w:pStyle w:val="Compact"/>
              <w:jc w:val="both"/>
            </w:pPr>
            <w:r>
              <w:t xml:space="preserve">ELF</w:t>
            </w:r>
          </w:p>
        </w:tc>
        <w:tc>
          <w:tcPr/>
          <w:p>
            <w:pPr>
              <w:pStyle w:val="Compact"/>
              <w:jc w:val="both"/>
            </w:pPr>
            <w:r>
              <w:t xml:space="preserve">Our released dataset: dense power-cap sweeps of 20 AI models on 4 GPUs, ~5,500 measured rows.</w:t>
            </w:r>
          </w:p>
        </w:tc>
      </w:tr>
      <w:tr>
        <w:tc>
          <w:tcPr/>
          <w:p>
            <w:pPr>
              <w:pStyle w:val="Compact"/>
              <w:jc w:val="both"/>
            </w:pPr>
            <w:r>
              <w:t xml:space="preserve">SLO</w:t>
            </w:r>
          </w:p>
        </w:tc>
        <w:tc>
          <w:tcPr/>
          <w:p>
            <w:pPr>
              <w:pStyle w:val="Compact"/>
              <w:jc w:val="both"/>
            </w:pPr>
            <w:r>
              <w:t xml:space="preserve">Service level objective: the deadline or latency a job must meet.</w:t>
            </w:r>
          </w:p>
        </w:tc>
      </w:tr>
      <w:tr>
        <w:tc>
          <w:tcPr/>
          <w:p>
            <w:pPr>
              <w:pStyle w:val="Compact"/>
              <w:jc w:val="both"/>
            </w:pPr>
            <w:r>
              <w:t xml:space="preserve">Firm / flexible capacity</w:t>
            </w:r>
          </w:p>
        </w:tc>
        <w:tc>
          <w:tcPr/>
          <w:p>
            <w:pPr>
              <w:pStyle w:val="Compact"/>
              <w:jc w:val="both"/>
            </w:pPr>
            <w:r>
              <w:t xml:space="preserve">Grid connection capacity guaranteed at all times, versus capacity given on condition that the facility reduces power when instructed.</w:t>
            </w:r>
          </w:p>
        </w:tc>
      </w:tr>
      <w:tr>
        <w:tc>
          <w:tcPr/>
          <w:p>
            <w:pPr>
              <w:pStyle w:val="Compact"/>
              <w:jc w:val="both"/>
            </w:pPr>
            <w:r>
              <w:t xml:space="preserve">Card multiplier</w:t>
            </w:r>
          </w:p>
        </w:tc>
        <w:tc>
          <w:tcPr/>
          <w:p>
            <w:pPr>
              <w:pStyle w:val="Compact"/>
              <w:jc w:val="both"/>
            </w:pPr>
            <w:r>
              <w:t xml:space="preserve">The extra cards needed to keep total throughput when capping. It equals the latency ratio (~1.2×).</w:t>
            </w:r>
          </w:p>
        </w:tc>
      </w:tr>
    </w:tbl>
    <w:bookmarkEnd w:id="25"/>
    <w:bookmarkStart w:id="28" w:name="objectives-of-the-program"/>
    <w:p>
      <w:pPr>
        <w:pStyle w:val="Heading2"/>
        <w:pBdr>
          <w:bottom w:val="single" w:sz="6" w:space="2" w:color="C8C8C8"/>
        </w:pBdr>
      </w:pPr>
      <w:r>
        <w:t xml:space="preserve">2.5.4 Objectives of the program</w:t>
      </w:r>
    </w:p>
    <w:bookmarkStart w:id="26" w:name="the-objective"/>
    <w:p>
      <w:pPr>
        <w:pStyle w:val="Heading3"/>
      </w:pPr>
      <w:r>
        <w:t xml:space="preserve">2.5.4.1 The objective</w:t>
      </w:r>
    </w:p>
    <w:p>
      <w:pPr>
        <w:pStyle w:val="FirstParagraph"/>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pStyle w:val="Heading3"/>
      </w:pPr>
      <w:r>
        <w:t xml:space="preserve">2.5.4.2 The research question</w:t>
      </w:r>
    </w:p>
    <w:p>
      <w:pPr>
        <w:pStyle w:val="FirstParagraph"/>
        <w:jc w:val="both"/>
      </w:pPr>
      <w:r>
        <w:t xml:space="preserve">Can AI data centers operate as controllable electrical loads, each GPU near its energy-optimal cap and the facility</w:t>
      </w:r>
      <w:r>
        <w:t xml:space="preserve"> </w:t>
      </w:r>
      <w:r>
        <w:t xml:space="preserve">inside a changing power limit, so that energy per unit of AI work falls and the power capacity required to serve it shrinks, while admitted</w:t>
      </w:r>
      <w:r>
        <w:t xml:space="preserve"> </w:t>
      </w:r>
      <w:r>
        <w:t xml:space="preserve">work keeps its service promises, under Israeli grid constraints?</w:t>
      </w:r>
    </w:p>
    <w:p>
      <w:pPr>
        <w:pStyle w:val="BodyText"/>
        <w:jc w:val="both"/>
      </w:pPr>
      <w:r>
        <w:t xml:space="preserve">Six sub-questions structure the work plan:</w:t>
      </w:r>
    </w:p>
    <w:p>
      <w:pPr>
        <w:pStyle w:val="Compact"/>
        <w:numPr>
          <w:ilvl w:val="0"/>
          <w:numId w:val="1001"/>
        </w:numPr>
        <w:jc w:val="both"/>
      </w:pPr>
      <w:r>
        <w:rPr>
          <w:b/>
          <w:bCs/>
        </w:rPr>
        <w:t xml:space="preserve">Does the law generalize?</w:t>
      </w:r>
      <w:r>
        <w:t xml:space="preserve"> </w:t>
      </w:r>
      <w:r>
        <w:t xml:space="preserve">Do the power law and JP, measured on 20 models and 4 GPUs, hold on H100-class and, as access allows, B200-class hardware, production serving software, and shared GPUs?</w:t>
      </w:r>
    </w:p>
    <w:p>
      <w:pPr>
        <w:pStyle w:val="Compact"/>
        <w:numPr>
          <w:ilvl w:val="0"/>
          <w:numId w:val="1001"/>
        </w:numPr>
        <w:jc w:val="both"/>
      </w:pPr>
      <w:r>
        <w:rPr>
          <w:b/>
          <w:bCs/>
        </w:rPr>
        <w:t xml:space="preserve">When is one cap per card enough?</w:t>
      </w:r>
      <w:r>
        <w:t xml:space="preserve"> </w:t>
      </w:r>
      <w:r>
        <w:t xml:space="preserve">Where does the near-constant per-card JP hold, and where must a job model replace it?</w:t>
      </w:r>
    </w:p>
    <w:p>
      <w:pPr>
        <w:pStyle w:val="Compact"/>
        <w:numPr>
          <w:ilvl w:val="0"/>
          <w:numId w:val="1001"/>
        </w:numPr>
        <w:jc w:val="both"/>
      </w:pPr>
      <w:r>
        <w:rPr>
          <w:b/>
          <w:bCs/>
        </w:rPr>
        <w:t xml:space="preserve">Where is the true optimum at the wall?</w:t>
      </w:r>
      <w:r>
        <w:t xml:space="preserve"> </w:t>
      </w:r>
      <w:r>
        <w:t xml:space="preserve">What is the JP at node and server-input (wall) power, which the grid meters, not just the board?</w:t>
      </w:r>
    </w:p>
    <w:p>
      <w:pPr>
        <w:pStyle w:val="Compact"/>
        <w:numPr>
          <w:ilvl w:val="0"/>
          <w:numId w:val="1001"/>
        </w:numPr>
        <w:jc w:val="both"/>
      </w:pPr>
      <w:r>
        <w:rPr>
          <w:b/>
          <w:bCs/>
        </w:rPr>
        <w:t xml:space="preserve">Can we skip the measurement?</w:t>
      </w:r>
      <w:r>
        <w:t xml:space="preserve"> </w:t>
      </w:r>
      <w:r>
        <w:t xml:space="preserve">Can an unmeasured GPU's JP be predicted from published characteristics plus at most one short test?</w:t>
      </w:r>
    </w:p>
    <w:p>
      <w:pPr>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a fixed placement rule; the joint problem is open.</w:t>
      </w:r>
    </w:p>
    <w:p>
      <w:pPr>
        <w:pStyle w:val="Compact"/>
        <w:numPr>
          <w:ilvl w:val="0"/>
          <w:numId w:val="1001"/>
        </w:numPr>
        <w:jc w:val="both"/>
      </w:pPr>
      <w:r>
        <w:rPr>
          <w:b/>
          <w:bCs/>
        </w:rPr>
        <w:t xml:space="preserve">How much flexibility can a facility sell, and who has the incentive?</w:t>
      </w:r>
      <w:r>
        <w:t xml:space="preserve"> </w:t>
      </w:r>
      <w:r>
        <w:t xml:space="preserve">How much power can be shed on instruction, how fast, for how long, at what cost, and which pricing rules make offering flexibility profitable?</w:t>
      </w:r>
    </w:p>
    <w:bookmarkEnd w:id="27"/>
    <w:bookmarkEnd w:id="28"/>
    <w:bookmarkStart w:id="37" w:name="the-proposed-research"/>
    <w:p>
      <w:pPr>
        <w:pStyle w:val="Heading2"/>
        <w:pBdr>
          <w:bottom w:val="single" w:sz="6" w:space="2" w:color="C8C8C8"/>
        </w:pBdr>
      </w:pPr>
      <w:r>
        <w:t xml:space="preserve">2.5.5 The proposed research</w:t>
      </w:r>
    </w:p>
    <w:bookmarkStart w:id="29" w:name="scientific-and-technological-background"/>
    <w:p>
      <w:pPr>
        <w:pStyle w:val="Heading3"/>
      </w:pPr>
      <w:r>
        <w:t xml:space="preserve">2.5.5.1 Scientific and technological background</w:t>
      </w:r>
    </w:p>
    <w:p>
      <w:pPr>
        <w:pStyle w:val="FirstParagraph"/>
        <w:jc w:val="both"/>
      </w:pPr>
      <w:r>
        <w:rPr>
          <w:b/>
          <w:bCs/>
        </w:rPr>
        <w:t xml:space="preserve">The Israeli challenge is specific and pressing.</w:t>
      </w:r>
      <w:r>
        <w:t xml:space="preserve"> </w:t>
      </w:r>
      <w:r>
        <w:t xml:space="preserve">AI data centers are among the world's fastest-growing electricity consumers, approaching 945 TWh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our measurements show the second is sometimes more efficient.</w:t>
      </w:r>
    </w:p>
    <w:p>
      <w:pPr>
        <w:pStyle w:val="BodyText"/>
        <w:jc w:val="both"/>
      </w:pPr>
      <w:r>
        <w:rPr>
          <w:b/>
          <w:bCs/>
        </w:rPr>
        <w:t xml:space="preserve">Our discovery.</w:t>
      </w:r>
      <w:r>
        <w:t xml:space="preserve"> </w:t>
      </w:r>
      <w:r>
        <w:t xml:space="preserve">The applicant's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physical law in the computing rate θ,</w:t>
      </w:r>
    </w:p>
    <w:p>
      <w:pPr>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pStyle w:val="Heading3"/>
      </w:pPr>
      <w:r>
        <w:t xml:space="preserve">2.5.5.2 Review of existing knowledge</w:t>
      </w:r>
    </w:p>
    <w:p>
      <w:pPr>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breaks when pooled across batch sizes.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Grid-interactive AI data centers are now demonstrated as grid assets [21], following a facility power target with priority-preserving curtailment; JouleFlex instead places jobs at the measured per-(card,job) energy optimum and quantifies the firm-plus-flexible capacity in MW, ramp and recovery.</w:t>
      </w:r>
    </w:p>
    <w:bookmarkEnd w:id="30"/>
    <w:bookmarkStart w:id="31" w:name="knowledge-gaps"/>
    <w:p>
      <w:pPr>
        <w:pStyle w:val="Heading3"/>
      </w:pPr>
      <w:r>
        <w:t xml:space="preserve">2.5.5.3 Knowledge gaps</w:t>
      </w:r>
    </w:p>
    <w:p>
      <w:pPr>
        <w:pStyle w:val="Compact"/>
        <w:numPr>
          <w:ilvl w:val="0"/>
          <w:numId w:val="1002"/>
        </w:numPr>
        <w:jc w:val="both"/>
      </w:pPr>
      <w:r>
        <w:rPr>
          <w:b/>
          <w:bCs/>
        </w:rPr>
        <w:t xml:space="preserve">The law's reach is unmapped.</w:t>
      </w:r>
      <w:r>
        <w:t xml:space="preserve"> </w:t>
      </w:r>
      <w:r>
        <w:t xml:space="preserve">It is established for single jobs at fixed settings on three inference GPUs; its persistence on H100 and, as access allows, B200-class hardware, production serving software and shared cards is unknown, and placing the JP on a new GPU still requires a full sweep [1].</w:t>
      </w:r>
    </w:p>
    <w:p>
      <w:pPr>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pStyle w:val="Heading3"/>
      </w:pPr>
      <w:r>
        <w:t xml:space="preserve">2.5.5.4 Description of the proposed research</w:t>
      </w:r>
    </w:p>
    <w:p>
      <w:pPr>
        <w:pStyle w:val="FirstParagraph"/>
        <w:jc w:val="both"/>
      </w:pPr>
      <w:r>
        <w:t xml:space="preserve">JouleFlex builds one measured foundation and three tools on it: first work out the energy-optimal way to run each job on each card, then control power to achieve it.</w:t>
      </w:r>
      <w:r>
        <w:t xml:space="preserve"> </w:t>
      </w:r>
      <w:r>
        <w:rPr>
          <w:b/>
          <w:bCs/>
        </w:rPr>
        <w:t xml:space="preserve">WP1 and WP2 measure and predict</w:t>
      </w:r>
      <w:r>
        <w:t xml:space="preserve">: they extend the dataset to current hardware, production software, and whole-server power, then turn those measurements into models that place any card's or job's efficient point without a full sweep.</w:t>
      </w:r>
      <w:r>
        <w:t xml:space="preserve"> </w:t>
      </w:r>
      <w:r>
        <w:rPr>
          <w:b/>
          <w:bCs/>
        </w:rPr>
        <w:t xml:space="preserve">WP3 controls</w:t>
      </w:r>
      <w:r>
        <w:t xml:space="preserve">: a real-time engine that decides which job runs on which card and at what power cap, tested in a digital twin before any deployment.</w:t>
      </w:r>
      <w:r>
        <w:t xml:space="preserve"> </w:t>
      </w:r>
      <w:r>
        <w:rPr>
          <w:b/>
          <w:bCs/>
        </w:rPr>
        <w:t xml:space="preserve">WP4 and WP5 connect to the grid</w:t>
      </w:r>
      <w:r>
        <w:t xml:space="preserve">: they define and measure the flexibility a controlled facility can offer, and study the pricing and connection rules that make efficient operation worthwhile. Everything is released openly.</w:t>
      </w:r>
    </w:p>
    <w:bookmarkEnd w:id="32"/>
    <w:bookmarkStart w:id="33" w:name="methods-work-packages"/>
    <w:p>
      <w:pPr>
        <w:pStyle w:val="Heading3"/>
      </w:pPr>
      <w: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WP</w:t>
            </w:r>
          </w:p>
        </w:tc>
        <w:tc>
          <w:tcPr/>
          <w:p>
            <w:pPr>
              <w:pStyle w:val="Compact"/>
              <w:jc w:val="both"/>
            </w:pPr>
            <w:r>
              <w:t xml:space="preserve">Objective</w:t>
            </w:r>
          </w:p>
        </w:tc>
        <w:tc>
          <w:tcPr/>
          <w:p>
            <w:pPr>
              <w:pStyle w:val="Compact"/>
              <w:jc w:val="both"/>
            </w:pPr>
            <w:r>
              <w:t xml:space="preserve">Approach and output</w:t>
            </w:r>
          </w:p>
        </w:tc>
      </w:tr>
      <w:tr>
        <w:tc>
          <w:tcPr/>
          <w:p>
            <w:pPr>
              <w:pStyle w:val="Compact"/>
              <w:jc w:val="both"/>
            </w:pPr>
            <w:r>
              <w:rPr>
                <w:b/>
                <w:bCs/>
              </w:rPr>
              <w:t xml:space="preserve">WP1</w:t>
            </w:r>
          </w:p>
        </w:tc>
        <w:tc>
          <w:tcPr/>
          <w:p>
            <w:pPr>
              <w:pStyle w:val="Compact"/>
              <w:jc w:val="both"/>
            </w:pPr>
            <w:r>
              <w:t xml:space="preserve">Extend the energy-versus-power measurements to current GPUs, production software, and whole-server power.</w:t>
            </w:r>
          </w:p>
        </w:tc>
        <w:tc>
          <w:tcPr/>
          <w:p>
            <w:pPr>
              <w:pStyle w:val="Compact"/>
              <w:jc w:val="both"/>
            </w:pPr>
            <w:r>
              <w:t xml:space="preserve">Re-run the study's measurement sweep on new GPUs (H100/L40S class) and production serving engines (vLLM [16], TensorRT-LLM), reading power at three rented tiers: the GPU board (NVML), the host CPU domain (RAPL), and the server's power-supply input, the wall tier (BMC, read out-of-band via IPMI/Redfish). Accuracy is taken from vendor specifications and cross-checked across tiers; the JP is where the slope of P(θ) is zero, so a constant meter bias cancels in its location: the JP and per-card savings are calibration-robust, while absolute board-to-wall and megawatt figures carry that caveat.</w:t>
            </w:r>
            <w:r>
              <w:t xml:space="preserve"> </w:t>
            </w:r>
            <w:r>
              <w:rPr>
                <w:i/>
                <w:iCs/>
              </w:rPr>
              <w:t xml:space="preserve">Output:</w:t>
            </w:r>
            <w:r>
              <w:t xml:space="preserve"> </w:t>
            </w:r>
            <w:r>
              <w:t xml:space="preserve">the ELF-2 open dataset (board and server-input).</w:t>
            </w:r>
          </w:p>
        </w:tc>
      </w:tr>
      <w:tr>
        <w:tc>
          <w:tcPr/>
          <w:p>
            <w:pPr>
              <w:pStyle w:val="Compact"/>
              <w:jc w:val="both"/>
            </w:pPr>
            <w:r>
              <w:rPr>
                <w:b/>
                <w:bCs/>
              </w:rPr>
              <w:t xml:space="preserve">WP2</w:t>
            </w:r>
          </w:p>
        </w:tc>
        <w:tc>
          <w:tcPr/>
          <w:p>
            <w:pPr>
              <w:pStyle w:val="Compact"/>
              <w:jc w:val="both"/>
            </w:pPr>
            <w:r>
              <w:t xml:space="preserve">Predict any new card's or job's efficient operating point without a full measurement sweep.</w:t>
            </w:r>
          </w:p>
        </w:tc>
        <w:tc>
          <w:tcPr/>
          <w:p>
            <w:pPr>
              <w:pStyle w:val="Compact"/>
              <w:jc w:val="both"/>
            </w:pPr>
            <w:r>
              <w:t xml:space="preserve">A job model predicts a job's best power cap from its features; a transfer model predicts a new card's curve from its published specifications plus one short test. Both report error bars and a stated range of validity, and a short proof bounds the small penalty of using one cap per card; the transfer model is a calibrated-prior predictor anchored by one test per card, its error bars reflecting the small card count.</w:t>
            </w:r>
            <w:r>
              <w:t xml:space="preserve"> </w:t>
            </w:r>
            <w:r>
              <w:rPr>
                <w:i/>
                <w:iCs/>
              </w:rPr>
              <w:t xml:space="preserve">Output:</w:t>
            </w:r>
            <w:r>
              <w:t xml:space="preserve"> </w:t>
            </w:r>
            <w:r>
              <w:t xml:space="preserve">the characterization kit (models and one-test protocol).</w:t>
            </w:r>
          </w:p>
        </w:tc>
      </w:tr>
      <w:tr>
        <w:tc>
          <w:tcPr/>
          <w:p>
            <w:pPr>
              <w:pStyle w:val="Compact"/>
              <w:jc w:val="both"/>
            </w:pPr>
            <w:r>
              <w:rPr>
                <w:b/>
                <w:bCs/>
              </w:rPr>
              <w:t xml:space="preserve">WP3</w:t>
            </w:r>
          </w:p>
        </w:tc>
        <w:tc>
          <w:tcPr/>
          <w:p>
            <w:pPr>
              <w:pStyle w:val="Compact"/>
              <w:jc w:val="both"/>
            </w:pPr>
            <w:r>
              <w:t xml:space="preserve">Decide, in real time, which job runs on which card and at what power cap, to do the most useful work within a changing power limit.</w:t>
            </w:r>
          </w:p>
        </w:tc>
        <w:tc>
          <w:tcPr/>
          <w:p>
            <w:pPr>
              <w:pStyle w:val="Compact"/>
              <w:jc w:val="both"/>
            </w:pPr>
            <w:r>
              <w:t xml:space="preserve">A controller that makes both choices together, since moving a job changes the power left for the others, tested in a digital twin that replays the measured curves against exact baselines. When power is too tight it defers or rejects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both"/>
            </w:pPr>
            <w:r>
              <w:rPr>
                <w:b/>
                <w:bCs/>
              </w:rPr>
              <w:t xml:space="preserve">WP4</w:t>
            </w:r>
          </w:p>
        </w:tc>
        <w:tc>
          <w:tcPr/>
          <w:p>
            <w:pPr>
              <w:pStyle w:val="Compact"/>
              <w:jc w:val="both"/>
            </w:pPr>
            <w:r>
              <w:t xml:space="preserve">Define what flexibility a controlled facility can offer the grid, and measure it.</w:t>
            </w:r>
          </w:p>
        </w:tc>
        <w:tc>
          <w:tcPr/>
          <w:p>
            <w:pPr>
              <w:pStyle w:val="Compact"/>
              <w:jc w:val="both"/>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both"/>
            </w:pPr>
            <w:r>
              <w:rPr>
                <w:b/>
                <w:bCs/>
              </w:rPr>
              <w:t xml:space="preserve">WP5</w:t>
            </w:r>
          </w:p>
        </w:tc>
        <w:tc>
          <w:tcPr/>
          <w:p>
            <w:pPr>
              <w:pStyle w:val="Compact"/>
              <w:jc w:val="both"/>
            </w:pPr>
            <w:r>
              <w:t xml:space="preserve">Find pricing and connection rules that reward efficient operation, and release everything openly.</w:t>
            </w:r>
          </w:p>
        </w:tc>
        <w:tc>
          <w:tcPr/>
          <w:p>
            <w:pPr>
              <w:pStyle w:val="Compact"/>
              <w:jc w:val="both"/>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jc w:val="both"/>
      </w:pPr>
      <w:r>
        <w:t xml:space="preserve">Success metrics are pre-registered per work package; the stage table in 2.5.7.1 states each threshold.</w:t>
      </w:r>
    </w:p>
    <w:bookmarkEnd w:id="33"/>
    <w:bookmarkStart w:id="34" w:name="novelty-and-originality"/>
    <w:p>
      <w:pPr>
        <w:pStyle w:val="Heading3"/>
      </w:pPr>
      <w:r>
        <w:t xml:space="preserve">2.5.5.6 Novelty and originality</w:t>
      </w:r>
    </w:p>
    <w:p>
      <w:pPr>
        <w:pStyle w:val="FirstParagraph"/>
        <w:jc w:val="both"/>
      </w:pPr>
      <w:r>
        <w:t xml:space="preserve">The measured law and the JP are established preliminary results [1]; the project’s novelty is the frontier built on them:</w:t>
      </w:r>
    </w:p>
    <w:p>
      <w:pPr>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 the form Israel’s connection challenge needs.</w:t>
      </w:r>
    </w:p>
    <w:p>
      <w:pPr>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earlier per-job runtime search at under one percent penalty [1], and the extra cards to hold throughput equal the latency ratio, so every recommendation carries its exact capital cost.</w:t>
      </w:r>
    </w:p>
    <w:p>
      <w:pPr>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having measured the cost of universal full-power operation at about a third of inference energy.</w:t>
      </w:r>
    </w:p>
    <w:p>
      <w:pPr>
        <w:pStyle w:val="Compact"/>
        <w:numPr>
          <w:ilvl w:val="0"/>
          <w:numId w:val="1003"/>
        </w:numPr>
        <w:jc w:val="both"/>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and the project extends an asset that already exists rather than one it must first build.</w:t>
      </w:r>
    </w:p>
    <w:p>
      <w:pPr>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distinct scheduling-control problem that grid-following controllers [21] do not address; the JouleFlex engine is a first solution driven by the measured curves.</w:t>
      </w:r>
    </w:p>
    <w:bookmarkEnd w:id="34"/>
    <w:bookmarkStart w:id="35" w:name="fit-to-the-ministrys-rd-goals"/>
    <w:p>
      <w:pPr>
        <w:pStyle w:val="Heading3"/>
      </w:pPr>
      <w:r>
        <w:t xml:space="preserve">2.5.5.7 Fit to the Ministry's R&amp;D goals</w:t>
      </w:r>
    </w:p>
    <w:p>
      <w:pPr>
        <w:pStyle w:val="FirstParagraph"/>
        <w:jc w:val="both"/>
      </w:pPr>
      <w:r>
        <w:t xml:space="preserve">The roles divide cleanly: operators run the hardware, the Ministry sets the rules. Just as a regulator sets fuel-economy standards without driving the cars, JouleFlex gives the Ministry the measured basis for connection terms, planning coefficients and efficiency standards, without operating any facility itself. The proposal addresses the Ministry's 2026 R&amp;D policy [17] under call 34/2026 [18],</w:t>
      </w:r>
      <w:r>
        <w:t xml:space="preserve"> </w:t>
      </w:r>
      <w:r>
        <w:t xml:space="preserve">in particular high-priority clauses of Chapter 2:</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Clause</w:t>
            </w:r>
          </w:p>
        </w:tc>
        <w:tc>
          <w:tcPr/>
          <w:p>
            <w:pPr>
              <w:pStyle w:val="Compact"/>
              <w:jc w:val="both"/>
            </w:pPr>
            <w:r>
              <w:t xml:space="preserve">How the project addresses it</w:t>
            </w:r>
          </w:p>
        </w:tc>
      </w:tr>
      <w:tr>
        <w:tc>
          <w:tcPr/>
          <w:p>
            <w:pPr>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both"/>
            </w:pPr>
            <w:r>
              <w:t xml:space="preserve">The core deliverable: power shaping manages a server farm's energy supply in real time; the flexibility framework tells planners how much a farm needs.</w:t>
            </w:r>
          </w:p>
        </w:tc>
      </w:tr>
      <w:tr>
        <w:tc>
          <w:tcPr/>
          <w:p>
            <w:pPr>
              <w:pStyle w:val="Compact"/>
              <w:bidi/>
              <w:jc w:val="both"/>
            </w:pPr>
            <w:r>
              <w:rPr>
                <w:b/>
                <w:bCs/>
                <w:rtl/>
              </w:rPr>
              <w:t xml:space="preserve">6.2</w:t>
            </w:r>
            <w:r>
              <w:rPr>
                <w:rtl/>
              </w:rPr>
              <w:t xml:space="preserve"> </w:t>
            </w:r>
            <w:r>
              <w:rPr>
                <w:rtl/>
              </w:rPr>
              <w:t xml:space="preserve">· טכנולוגיות לניהול אנרגיה מקומי וניהול ביקושים</w:t>
            </w:r>
          </w:p>
        </w:tc>
        <w:tc>
          <w:tcPr/>
          <w:p>
            <w:pPr>
              <w:pStyle w:val="Compact"/>
              <w:jc w:val="both"/>
            </w:pPr>
            <w:r>
              <w:t xml:space="preserve">A facility following a power envelope on instruction, at ~0.2-second actuation, is a demand-response resource of grid-relevant size.</w:t>
            </w:r>
          </w:p>
        </w:tc>
      </w:tr>
      <w:tr>
        <w:tc>
          <w:tcPr/>
          <w:p>
            <w:pPr>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both"/>
            </w:pPr>
            <w:r>
              <w:t xml:space="preserve">29–31 percent less energy per AI task at the card, 18–45 percent less per served job at the fleet, in software on installed hardware.</w:t>
            </w:r>
          </w:p>
        </w:tc>
      </w:tr>
      <w:tr>
        <w:tc>
          <w:tcPr/>
          <w:p>
            <w:pPr>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w:t>
            </w:r>
            <w:r>
              <w:rPr>
                <w:rtl/>
              </w:rPr>
              <w:t xml:space="preserve"> </w:t>
            </w:r>
            <w:r>
              <w:rPr>
                <w:rtl/>
              </w:rPr>
              <w:t xml:space="preserve">(2026 priority)</w:t>
            </w:r>
          </w:p>
        </w:tc>
        <w:tc>
          <w:tcPr/>
          <w:p>
            <w:pPr>
              <w:pStyle w:val="Compact"/>
              <w:jc w:val="both"/>
            </w:pPr>
            <w:r>
              <w:t xml:space="preserve">AI compute is the subject, learned models and control the instruments, an energy-system tool the deliverable.</w:t>
            </w:r>
          </w:p>
        </w:tc>
      </w:tr>
      <w:tr>
        <w:tc>
          <w:tcPr/>
          <w:p>
            <w:pPr>
              <w:pStyle w:val="Compact"/>
              <w:bidi/>
              <w:jc w:val="both"/>
            </w:pPr>
            <w:r>
              <w:rPr>
                <w:b/>
                <w:bCs/>
                <w:rtl/>
              </w:rPr>
              <w:t xml:space="preserve">15.3</w:t>
            </w:r>
            <w:r>
              <w:rPr>
                <w:rtl/>
              </w:rPr>
              <w:t xml:space="preserve"> </w:t>
            </w:r>
            <w:r>
              <w:rPr>
                <w:rtl/>
              </w:rPr>
              <w:t xml:space="preserve">· פיתוח מתודולוגיה לבניית תחזיות ומודלים ופיתוח כלי עזר בקבלת החלטות</w:t>
            </w:r>
          </w:p>
        </w:tc>
        <w:tc>
          <w:tcPr/>
          <w:p>
            <w:pPr>
              <w:pStyle w:val="Compact"/>
              <w:jc w:val="both"/>
            </w:pPr>
            <w:r>
              <w:t xml:space="preserve">Flexibility products, compliance metrics and the regulator-facing report are decision-support instruments for connection policy.</w:t>
            </w:r>
          </w:p>
        </w:tc>
      </w:tr>
    </w:tbl>
    <w:bookmarkEnd w:id="35"/>
    <w:bookmarkStart w:id="36" w:name="preliminary-results"/>
    <w:p>
      <w:pPr>
        <w:pStyle w:val="Heading3"/>
      </w:pPr>
      <w:r>
        <w:t xml:space="preserve">2.5.5.8 Preliminary results</w:t>
      </w:r>
    </w:p>
    <w:p>
      <w:pPr>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36"/>
    <w:bookmarkEnd w:id="37"/>
    <w:bookmarkStart w:id="40" w:name="application-expected-benefit-and-impact"/>
    <w:p>
      <w:pPr>
        <w:pStyle w:val="Heading2"/>
        <w:pBdr>
          <w:bottom w:val="single" w:sz="6" w:space="2" w:color="C8C8C8"/>
        </w:pBdr>
      </w:pPr>
      <w:r>
        <w:t xml:space="preserve">2.5.6 Application: expected benefit and impact</w:t>
      </w:r>
    </w:p>
    <w:bookmarkStart w:id="38" w:name="what-the-project-delivers-concretely"/>
    <w:p>
      <w:pPr>
        <w:pStyle w:val="Heading3"/>
      </w:pPr>
      <w:r>
        <w:t xml:space="preserve">2.5.6.1 What the project delivers, concretely</w:t>
      </w:r>
    </w:p>
    <w:p>
      <w:pPr>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pStyle w:val="Heading3"/>
      </w:pPr>
      <w:r>
        <w:t xml:space="preserve">2.5.6.2 Benefit and impact</w:t>
      </w:r>
    </w:p>
    <w:p>
      <w:pPr>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jc w:val="both"/>
      </w:pPr>
      <w:r>
        <w:rPr>
          <w:b/>
          <w:bCs/>
        </w:rPr>
        <w:t xml:space="preserve">Training and human capital (an explicit impact objective).</w:t>
      </w:r>
      <w:r>
        <w:t xml:space="preserve"> </w:t>
      </w:r>
      <w:r>
        <w:t xml:space="preserve">Israel has little research capacity at the AI-energy interface, and operators and the regulator now both need it. It builds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jc w:val="both"/>
      </w:pPr>
      <w:r>
        <w:rPr>
          <w:b/>
          <w:bCs/>
        </w:rPr>
        <w:t xml:space="preserve">For operators.</w:t>
      </w:r>
      <w:r>
        <w:t xml:space="preserve"> </w:t>
      </w:r>
      <w:r>
        <w:t xml:space="preserve">On installed hardware, software control delivers 29 to 31 percent lower energy per task (measured) and 18 to 45 percent lower per served job (fleet simulation).</w:t>
      </w:r>
    </w:p>
    <w:bookmarkEnd w:id="39"/>
    <w:bookmarkEnd w:id="40"/>
    <w:bookmarkStart w:id="44" w:name="work-plan"/>
    <w:p>
      <w:pPr>
        <w:pStyle w:val="Heading2"/>
        <w:pBdr>
          <w:bottom w:val="single" w:sz="6" w:space="2" w:color="C8C8C8"/>
        </w:pBdr>
      </w:pPr>
      <w:r>
        <w:t xml:space="preserve">2.5.7 Work plan</w:t>
      </w:r>
    </w:p>
    <w:bookmarkStart w:id="41" w:name="X667c3ec6dfb794f21fdd4a234ae848af0d17922"/>
    <w:p>
      <w:pPr>
        <w:pStyle w:val="Heading3"/>
      </w:pPr>
      <w: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Months</w:t>
            </w:r>
          </w:p>
        </w:tc>
        <w:tc>
          <w:tcPr/>
          <w:p>
            <w:pPr>
              <w:pStyle w:val="Compact"/>
              <w:jc w:val="both"/>
            </w:pPr>
            <w:r>
              <w:t xml:space="preserve">Stage</w:t>
            </w:r>
          </w:p>
        </w:tc>
        <w:tc>
          <w:tcPr/>
          <w:p>
            <w:pPr>
              <w:pStyle w:val="Compact"/>
              <w:jc w:val="both"/>
            </w:pPr>
            <w:r>
              <w:t xml:space="preserve">Deliverable</w:t>
            </w:r>
          </w:p>
        </w:tc>
        <w:tc>
          <w:tcPr/>
          <w:p>
            <w:pPr>
              <w:pStyle w:val="Compact"/>
              <w:jc w:val="both"/>
            </w:pPr>
            <w:r>
              <w:t xml:space="preserve">Success metric</w:t>
            </w:r>
          </w:p>
        </w:tc>
      </w:tr>
      <w:tr>
        <w:tc>
          <w:tcPr/>
          <w:p>
            <w:pPr>
              <w:pStyle w:val="Compact"/>
              <w:jc w:val="both"/>
            </w:pPr>
            <w:r>
              <w:t xml:space="preserve">M1–M6</w:t>
            </w:r>
          </w:p>
        </w:tc>
        <w:tc>
          <w:tcPr/>
          <w:p>
            <w:pPr>
              <w:pStyle w:val="Compact"/>
              <w:jc w:val="both"/>
            </w:pPr>
            <w:r>
              <w:t xml:space="preserve">WP1: harness; new-generation and production-engine (vLLM) sweeps; board and node instrumentation</w:t>
            </w:r>
          </w:p>
        </w:tc>
        <w:tc>
          <w:tcPr/>
          <w:p>
            <w:pPr>
              <w:pStyle w:val="Compact"/>
              <w:jc w:val="both"/>
            </w:pPr>
            <w:r>
              <w:t xml:space="preserve">D1: ELF-2 v1</w:t>
            </w:r>
          </w:p>
        </w:tc>
        <w:tc>
          <w:tcPr/>
          <w:p>
            <w:pPr>
              <w:pStyle w:val="Compact"/>
              <w:jc w:val="both"/>
            </w:pPr>
            <w:r>
              <w:t xml:space="preserve">Law fit R² ≥ 0.95 per sweep, below the measured 0.99 median [1], or deviation documented; JP located (or absence documented) per platform at board and node power</w:t>
            </w:r>
          </w:p>
        </w:tc>
      </w:tr>
      <w:tr>
        <w:tc>
          <w:tcPr/>
          <w:p>
            <w:pPr>
              <w:pStyle w:val="Compact"/>
              <w:jc w:val="both"/>
            </w:pPr>
            <w:r>
              <w:t xml:space="preserve">M5–M8</w:t>
            </w:r>
          </w:p>
        </w:tc>
        <w:tc>
          <w:tcPr/>
          <w:p>
            <w:pPr>
              <w:pStyle w:val="Compact"/>
              <w:jc w:val="both"/>
            </w:pPr>
            <w:r>
              <w:t xml:space="preserve">WP1: shared GPUs, LLM phases, fine-tuning; sweeps where the constant should break</w:t>
            </w:r>
          </w:p>
        </w:tc>
        <w:tc>
          <w:tcPr/>
          <w:p>
            <w:pPr>
              <w:pStyle w:val="Compact"/>
              <w:jc w:val="both"/>
            </w:pPr>
            <w:r>
              <w:t xml:space="preserve">MS1: regime map</w:t>
            </w:r>
          </w:p>
        </w:tc>
        <w:tc>
          <w:tcPr/>
          <w:p>
            <w:pPr>
              <w:pStyle w:val="Compact"/>
              <w:jc w:val="both"/>
            </w:pPr>
            <w:r>
              <w:t xml:space="preserve">Server-input (BMC) wall tier validated; validity domain documented, including the pre-registered JP shift (percentage points of TDP) at which the per-card constant breaks; an M8 technical brief to the chief scientist unit</w:t>
            </w:r>
          </w:p>
        </w:tc>
      </w:tr>
      <w:tr>
        <w:tc>
          <w:tcPr/>
          <w:p>
            <w:pPr>
              <w:pStyle w:val="Compact"/>
              <w:jc w:val="both"/>
            </w:pPr>
            <w:r>
              <w:t xml:space="preserve">M7–M12</w:t>
            </w:r>
          </w:p>
        </w:tc>
        <w:tc>
          <w:tcPr/>
          <w:p>
            <w:pPr>
              <w:pStyle w:val="Compact"/>
              <w:jc w:val="both"/>
            </w:pPr>
            <w:r>
              <w:t xml:space="preserve">WP2: job model; transfer model; one-test characterization protocol</w:t>
            </w:r>
          </w:p>
        </w:tc>
        <w:tc>
          <w:tcPr/>
          <w:p>
            <w:pPr>
              <w:pStyle w:val="Compact"/>
              <w:jc w:val="both"/>
            </w:pPr>
            <w:r>
              <w:t xml:space="preserve">MS2: models result</w:t>
            </w:r>
          </w:p>
        </w:tc>
        <w:tc>
          <w:tcPr/>
          <w:p>
            <w:pPr>
              <w:pStyle w:val="Compact"/>
              <w:jc w:val="both"/>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both"/>
            </w:pPr>
            <w:r>
              <w:t xml:space="preserve">M9–M16</w:t>
            </w:r>
          </w:p>
        </w:tc>
        <w:tc>
          <w:tcPr/>
          <w:p>
            <w:pPr>
              <w:pStyle w:val="Compact"/>
              <w:jc w:val="both"/>
            </w:pPr>
            <w:r>
              <w:t xml:space="preserve">WP3: twin; joint controller under fixed, price, carbon and curtailment envelopes</w:t>
            </w:r>
          </w:p>
        </w:tc>
        <w:tc>
          <w:tcPr/>
          <w:p>
            <w:pPr>
              <w:pStyle w:val="Compact"/>
              <w:jc w:val="both"/>
            </w:pPr>
            <w:r>
              <w:t xml:space="preserve">MS3: controller result</w:t>
            </w:r>
          </w:p>
        </w:tc>
        <w:tc>
          <w:tcPr/>
          <w:p>
            <w:pPr>
              <w:pStyle w:val="Compact"/>
              <w:jc w:val="both"/>
            </w:pPr>
            <w:r>
              <w:t xml:space="preserve">Energy per served job and SLO compliance versus uncapped, static-cap and cap-only baselines; a pre-registered floor of at least 10 percent below cap-only at equal compliance (the incremental gain over an already-capped fleet on held-out traces, not the saving over full power); zero exceedance beyond the WP1 noise band in committed windows, with overshoot and transient violations (under 1 percent of epochs) reported</w:t>
            </w:r>
          </w:p>
        </w:tc>
      </w:tr>
      <w:tr>
        <w:tc>
          <w:tcPr/>
          <w:p>
            <w:pPr>
              <w:pStyle w:val="Compact"/>
              <w:jc w:val="both"/>
            </w:pPr>
            <w:r>
              <w:t xml:space="preserve">M14–M20</w:t>
            </w:r>
          </w:p>
        </w:tc>
        <w:tc>
          <w:tcPr/>
          <w:p>
            <w:pPr>
              <w:pStyle w:val="Compact"/>
              <w:jc w:val="both"/>
            </w:pPr>
            <w:r>
              <w:t xml:space="preserve">WP4: flexibility products and metrics; demonstration on rented BMC-metered servers; Israel scenario</w:t>
            </w:r>
          </w:p>
        </w:tc>
        <w:tc>
          <w:tcPr/>
          <w:p>
            <w:pPr>
              <w:pStyle w:val="Compact"/>
              <w:jc w:val="both"/>
            </w:pPr>
            <w:r>
              <w:t xml:space="preserve">MS4: flexibility demonstration</w:t>
            </w:r>
          </w:p>
        </w:tc>
        <w:tc>
          <w:tcPr/>
          <w:p>
            <w:pPr>
              <w:pStyle w:val="Compact"/>
              <w:jc w:val="both"/>
            </w:pPr>
            <w:r>
              <w:t xml:space="preserve">Sheddable power as a fraction of the committed envelope (pre-registered floor: at least 15 percent within the ramp deadline at bounded SLO loss), measured on a BMC-metered server, projected to fleet scale in the twin (projection error versus the metered runs reported); ramp within 60 seconds and recovery within 5 minutes, within a grid flexibility product's response window [19]; delivery-record compliance and curtailment service cost</w:t>
            </w:r>
          </w:p>
        </w:tc>
      </w:tr>
      <w:tr>
        <w:tc>
          <w:tcPr/>
          <w:p>
            <w:pPr>
              <w:pStyle w:val="Compact"/>
              <w:jc w:val="both"/>
            </w:pPr>
            <w:r>
              <w:t xml:space="preserve">M16–M21</w:t>
            </w:r>
          </w:p>
        </w:tc>
        <w:tc>
          <w:tcPr/>
          <w:p>
            <w:pPr>
              <w:pStyle w:val="Compact"/>
              <w:jc w:val="both"/>
            </w:pPr>
            <w:r>
              <w:t xml:space="preserve">WP5: incentive model; connection valuation on published Israeli data; twin evaluation</w:t>
            </w:r>
          </w:p>
        </w:tc>
        <w:tc>
          <w:tcPr/>
          <w:p>
            <w:pPr>
              <w:pStyle w:val="Compact"/>
              <w:jc w:val="both"/>
            </w:pPr>
            <w:r>
              <w:t xml:space="preserve">MS5: policy report draft</w:t>
            </w:r>
          </w:p>
        </w:tc>
        <w:tc>
          <w:tcPr/>
          <w:p>
            <w:pPr>
              <w:pStyle w:val="Compact"/>
              <w:jc w:val="both"/>
            </w:pPr>
            <w:r>
              <w:t xml:space="preserve">Alignment condition per billing structure, confirmed in the twin; option value per MW and break-even curtailment frequency, with sensitivity to every price input</w:t>
            </w:r>
          </w:p>
        </w:tc>
      </w:tr>
      <w:tr>
        <w:tc>
          <w:tcPr/>
          <w:p>
            <w:pPr>
              <w:pStyle w:val="Compact"/>
              <w:jc w:val="both"/>
            </w:pPr>
            <w:r>
              <w:t xml:space="preserve">M21–M24</w:t>
            </w:r>
          </w:p>
        </w:tc>
        <w:tc>
          <w:tcPr/>
          <w:p>
            <w:pPr>
              <w:pStyle w:val="Compact"/>
              <w:jc w:val="both"/>
            </w:pPr>
            <w:r>
              <w:t xml:space="preserve">WP5: release, documentation, validation, publication</w:t>
            </w:r>
          </w:p>
        </w:tc>
        <w:tc>
          <w:tcPr/>
          <w:p>
            <w:pPr>
              <w:pStyle w:val="Compact"/>
              <w:jc w:val="both"/>
            </w:pPr>
            <w:r>
              <w:t xml:space="preserve">D2: open release; D3: final report</w:t>
            </w:r>
          </w:p>
        </w:tc>
        <w:tc>
          <w:tcPr/>
          <w:p>
            <w:pPr>
              <w:pStyle w:val="Compact"/>
              <w:jc w:val="both"/>
            </w:pPr>
            <w:r>
              <w:t xml:space="preserve">Public repositories with reproducing pipelines; metered validation; final scientific and policy reports</w:t>
            </w:r>
          </w:p>
        </w:tc>
      </w:tr>
    </w:tbl>
    <w:p>
      <w:pPr>
        <w:pStyle w:val="BodyText"/>
        <w:jc w:val="both"/>
      </w:pPr>
      <w:r>
        <w:t xml:space="preserve">Two interim briefings are named deliverables: the M8 technical brief and the M21 policy draft, in Hebrew, circulable to the Authority and Noga [19]. Each milestone is tested against pre-stated criteria; a bounding result is itself a deliverable. Minimum-success path: H100/L40S validation, one serving engine, BMC wall measurement, the job and transfer models, the joint controller, and one Israeli flexibility scenario; B200-class cards, a second engine, fine-tuning, shared-GPU regimes and the formal guarantee are extension objectives as access allows.</w:t>
      </w:r>
    </w:p>
    <w:bookmarkEnd w:id="41"/>
    <w:bookmarkStart w:id="42" w:name="budget-by-stage"/>
    <w:p>
      <w:pPr>
        <w:pStyle w:val="Heading3"/>
      </w:pPr>
      <w: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Stage</w:t>
            </w:r>
          </w:p>
        </w:tc>
        <w:tc>
          <w:tcPr/>
          <w:p>
            <w:pPr>
              <w:pStyle w:val="Compact"/>
              <w:jc w:val="both"/>
            </w:pPr>
            <w:r>
              <w:t xml:space="preserve">Share</w:t>
            </w:r>
          </w:p>
        </w:tc>
        <w:tc>
          <w:tcPr/>
          <w:p>
            <w:pPr>
              <w:pStyle w:val="Compact"/>
              <w:jc w:val="both"/>
            </w:pPr>
            <w:r>
              <w:t xml:space="preserve">Amount (₪)</w:t>
            </w:r>
          </w:p>
        </w:tc>
        <w:tc>
          <w:tcPr/>
          <w:p>
            <w:pPr>
              <w:pStyle w:val="Compact"/>
              <w:jc w:val="both"/>
            </w:pPr>
            <w:r>
              <w:t xml:space="preserve">Principal costs</w:t>
            </w:r>
          </w:p>
        </w:tc>
      </w:tr>
      <w:tr>
        <w:tc>
          <w:tcPr/>
          <w:p>
            <w:pPr>
              <w:pStyle w:val="Compact"/>
              <w:jc w:val="both"/>
            </w:pPr>
            <w:r>
              <w:t xml:space="preserve">M1–M8 (WP1; WP2 begins)</w:t>
            </w:r>
          </w:p>
        </w:tc>
        <w:tc>
          <w:tcPr/>
          <w:p>
            <w:pPr>
              <w:pStyle w:val="Compact"/>
              <w:jc w:val="both"/>
            </w:pPr>
            <w:r>
              <w:t xml:space="preserve">30%</w:t>
            </w:r>
          </w:p>
        </w:tc>
        <w:tc>
          <w:tcPr/>
          <w:p>
            <w:pPr>
              <w:pStyle w:val="Compact"/>
              <w:jc w:val="both"/>
            </w:pPr>
            <w:r>
              <w:t xml:space="preserve">148,314</w:t>
            </w:r>
          </w:p>
        </w:tc>
        <w:tc>
          <w:tcPr/>
          <w:p>
            <w:pPr>
              <w:pStyle w:val="Compact"/>
              <w:jc w:val="both"/>
            </w:pPr>
            <w:r>
              <w:t xml:space="preserve">Postdoctoral researcher; GPU rentals for cap sweeps</w:t>
            </w:r>
          </w:p>
        </w:tc>
      </w:tr>
      <w:tr>
        <w:tc>
          <w:tcPr/>
          <w:p>
            <w:pPr>
              <w:pStyle w:val="Compact"/>
              <w:jc w:val="both"/>
            </w:pPr>
            <w:r>
              <w:t xml:space="preserve">M9–M16 (WP2 ends; WP3; WP4 begins)</w:t>
            </w:r>
          </w:p>
        </w:tc>
        <w:tc>
          <w:tcPr/>
          <w:p>
            <w:pPr>
              <w:pStyle w:val="Compact"/>
              <w:jc w:val="both"/>
            </w:pPr>
            <w:r>
              <w:t xml:space="preserve">33%</w:t>
            </w:r>
          </w:p>
        </w:tc>
        <w:tc>
          <w:tcPr/>
          <w:p>
            <w:pPr>
              <w:pStyle w:val="Compact"/>
              <w:jc w:val="both"/>
            </w:pPr>
            <w:r>
              <w:t xml:space="preserve">163,145</w:t>
            </w:r>
          </w:p>
        </w:tc>
        <w:tc>
          <w:tcPr/>
          <w:p>
            <w:pPr>
              <w:pStyle w:val="Compact"/>
              <w:jc w:val="both"/>
            </w:pPr>
            <w:r>
              <w:t xml:space="preserve">Postdoctoral researcher; card-model rentals for transfer validation; twin and controller work</w:t>
            </w:r>
          </w:p>
        </w:tc>
      </w:tr>
      <w:tr>
        <w:tc>
          <w:tcPr/>
          <w:p>
            <w:pPr>
              <w:pStyle w:val="Compact"/>
              <w:jc w:val="both"/>
            </w:pPr>
            <w:r>
              <w:t xml:space="preserve">M17–M21 (WP4 ends; WP5)</w:t>
            </w:r>
          </w:p>
        </w:tc>
        <w:tc>
          <w:tcPr/>
          <w:p>
            <w:pPr>
              <w:pStyle w:val="Compact"/>
              <w:jc w:val="both"/>
            </w:pPr>
            <w:r>
              <w:t xml:space="preserve">25%</w:t>
            </w:r>
          </w:p>
        </w:tc>
        <w:tc>
          <w:tcPr/>
          <w:p>
            <w:pPr>
              <w:pStyle w:val="Compact"/>
              <w:jc w:val="both"/>
            </w:pPr>
            <w:r>
              <w:t xml:space="preserve">123,595</w:t>
            </w:r>
          </w:p>
        </w:tc>
        <w:tc>
          <w:tcPr/>
          <w:p>
            <w:pPr>
              <w:pStyle w:val="Compact"/>
              <w:jc w:val="both"/>
            </w:pPr>
            <w:r>
              <w:t xml:space="preserve">Postdoctoral researcher; BMC-metered rentals; flexibility campaign</w:t>
            </w:r>
          </w:p>
        </w:tc>
      </w:tr>
      <w:tr>
        <w:tc>
          <w:tcPr/>
          <w:p>
            <w:pPr>
              <w:pStyle w:val="Compact"/>
              <w:jc w:val="both"/>
            </w:pPr>
            <w:r>
              <w:t xml:space="preserve">M22–M24 (WP5: release and validation)</w:t>
            </w:r>
          </w:p>
        </w:tc>
        <w:tc>
          <w:tcPr/>
          <w:p>
            <w:pPr>
              <w:pStyle w:val="Compact"/>
              <w:jc w:val="both"/>
            </w:pPr>
            <w:r>
              <w:t xml:space="preserve">12%</w:t>
            </w:r>
          </w:p>
        </w:tc>
        <w:tc>
          <w:tcPr/>
          <w:p>
            <w:pPr>
              <w:pStyle w:val="Compact"/>
              <w:jc w:val="both"/>
            </w:pPr>
            <w:r>
              <w:t xml:space="preserve">59,326</w:t>
            </w:r>
          </w:p>
        </w:tc>
        <w:tc>
          <w:tcPr/>
          <w:p>
            <w:pPr>
              <w:pStyle w:val="Compact"/>
              <w:jc w:val="both"/>
            </w:pPr>
            <w:r>
              <w:t xml:space="preserve">Postdoctoral researcher; metered validation runs; documentation; dissemination and publication</w:t>
            </w:r>
          </w:p>
        </w:tc>
      </w:tr>
      <w:tr>
        <w:tc>
          <w:tcPr>
            <w:gridSpan w:val="2"/>
          </w:tcPr>
          <w:p>
            <w:pPr>
              <w:pStyle w:val="Compact"/>
              <w:jc w:val="both"/>
            </w:pPr>
            <w:r>
              <w:rPr>
                <w:b/>
                <w:bCs/>
              </w:rPr>
              <w:t xml:space="preserve">Total</w:t>
            </w:r>
          </w:p>
        </w:tc>
        <w:tc>
          <w:tcPr/>
          <w:p>
            <w:pPr>
              <w:pStyle w:val="Compact"/>
              <w:jc w:val="both"/>
            </w:pPr>
            <w:r>
              <w:rPr>
                <w:b/>
                <w:bCs/>
              </w:rPr>
              <w:t xml:space="preserve">494,380</w:t>
            </w:r>
          </w:p>
        </w:tc>
        <w:tc>
          <w:tcPr/>
          <w:p>
            <w:pPr>
              <w:pStyle w:val="Compact"/>
              <w:bidi/>
              <w:jc w:val="both"/>
            </w:pPr>
            <w:r>
              <w:rPr>
                <w:rtl/>
              </w:rPr>
              <w:t xml:space="preserve">Full itemization in the מפרט תקציבי</w:t>
            </w:r>
          </w:p>
        </w:tc>
      </w:tr>
    </w:tbl>
    <w:bookmarkEnd w:id="42"/>
    <w:bookmarkStart w:id="43" w:name="risks-and-mitigation"/>
    <w:p>
      <w:pPr>
        <w:pStyle w:val="Heading3"/>
      </w:pPr>
      <w: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Risk</w:t>
            </w:r>
          </w:p>
        </w:tc>
        <w:tc>
          <w:tcPr/>
          <w:p>
            <w:pPr>
              <w:pStyle w:val="Compact"/>
              <w:jc w:val="both"/>
            </w:pPr>
            <w:r>
              <w:t xml:space="preserve">Impact</w:t>
            </w:r>
          </w:p>
        </w:tc>
        <w:tc>
          <w:tcPr/>
          <w:p>
            <w:pPr>
              <w:pStyle w:val="Compact"/>
              <w:jc w:val="both"/>
            </w:pPr>
            <w:r>
              <w:t xml:space="preserve">Mitigation</w:t>
            </w:r>
          </w:p>
        </w:tc>
      </w:tr>
      <w:tr>
        <w:tc>
          <w:tcPr/>
          <w:p>
            <w:pPr>
              <w:pStyle w:val="Compact"/>
              <w:jc w:val="both"/>
            </w:pPr>
            <w:r>
              <w:t xml:space="preserve">Production serving software (continuous batching, shifting phases) blurs the per-card constant</w:t>
            </w:r>
          </w:p>
        </w:tc>
        <w:tc>
          <w:tcPr/>
          <w:p>
            <w:pPr>
              <w:pStyle w:val="Compact"/>
              <w:jc w:val="both"/>
            </w:pPr>
            <w:r>
              <w:t xml:space="preserve">Static cap loses near-optimality for LLMs</w:t>
            </w:r>
          </w:p>
        </w:tc>
        <w:tc>
          <w:tcPr/>
          <w:p>
            <w:pPr>
              <w:pStyle w:val="Compact"/>
              <w:jc w:val="both"/>
            </w:pPr>
            <w:r>
              <w:t xml:space="preserve">Measured first (WP1, M1); the job model predicts the optimum where the constant breaks</w:t>
            </w:r>
          </w:p>
        </w:tc>
      </w:tr>
      <w:tr>
        <w:tc>
          <w:tcPr/>
          <w:p>
            <w:pPr>
              <w:pStyle w:val="Compact"/>
              <w:jc w:val="both"/>
            </w:pPr>
            <w:r>
              <w:t xml:space="preserve">Power-cap control unavailable on some rented platforms</w:t>
            </w:r>
          </w:p>
        </w:tc>
        <w:tc>
          <w:tcPr/>
          <w:p>
            <w:pPr>
              <w:pStyle w:val="Compact"/>
              <w:jc w:val="both"/>
            </w:pPr>
            <w:r>
              <w:t xml:space="preserve">Measurement campaign narrowed</w:t>
            </w:r>
          </w:p>
        </w:tc>
        <w:tc>
          <w:tcPr/>
          <w:p>
            <w:pPr>
              <w:pStyle w:val="Compact"/>
              <w:jc w:val="both"/>
            </w:pPr>
            <w:r>
              <w:t xml:space="preserve">AWS EC2 gives passthrough and root; too-high cap floors are exposed via the graphics clock (L4 [1]); BMC rentals cover the wall tier</w:t>
            </w:r>
          </w:p>
        </w:tc>
      </w:tr>
      <w:tr>
        <w:tc>
          <w:tcPr/>
          <w:p>
            <w:pPr>
              <w:pStyle w:val="Compact"/>
              <w:jc w:val="both"/>
            </w:pPr>
            <w:r>
              <w:t xml:space="preserve">Postdoc recruitment slips, or the single hire is lost mid-project</w:t>
            </w:r>
          </w:p>
        </w:tc>
        <w:tc>
          <w:tcPr/>
          <w:p>
            <w:pPr>
              <w:pStyle w:val="Compact"/>
              <w:jc w:val="both"/>
            </w:pPr>
            <w:r>
              <w:t xml:space="preserve">Schedule and delivery at risk</w:t>
            </w:r>
          </w:p>
        </w:tc>
        <w:tc>
          <w:tcPr/>
          <w:p>
            <w:pPr>
              <w:pStyle w:val="Compact"/>
              <w:jc w:val="both"/>
            </w:pPr>
            <w:r>
              <w:t xml:space="preserve">PI runs the WP1 bench directly (the ELF harness is his); the minimum-success path is one-FTE executable; recruitment via HIT and national channels with a fallback</w:t>
            </w:r>
          </w:p>
        </w:tc>
      </w:tr>
      <w:tr>
        <w:tc>
          <w:tcPr/>
          <w:p>
            <w:pPr>
              <w:pStyle w:val="Compact"/>
              <w:jc w:val="both"/>
            </w:pPr>
            <w:r>
              <w:t xml:space="preserve">Out-of-band PSU telemetry (BMC/IPMI/Redfish) blocked on a rented server</w:t>
            </w:r>
          </w:p>
        </w:tc>
        <w:tc>
          <w:tcPr/>
          <w:p>
            <w:pPr>
              <w:pStyle w:val="Compact"/>
              <w:jc w:val="both"/>
            </w:pPr>
            <w:r>
              <w:t xml:space="preserve">Wall-tier measurement narrowed</w:t>
            </w:r>
          </w:p>
        </w:tc>
        <w:tc>
          <w:tcPr/>
          <w:p>
            <w:pPr>
              <w:pStyle w:val="Compact"/>
              <w:jc w:val="both"/>
            </w:pPr>
            <w:r>
              <w:t xml:space="preserve">Named BMC-capable bare-metal vendors with dated quotes (GPU Mart and equivalents); fallback to an in-line metered PDU at the wall</w:t>
            </w:r>
          </w:p>
        </w:tc>
      </w:tr>
    </w:tbl>
    <w:bookmarkEnd w:id="43"/>
    <w:bookmarkEnd w:id="44"/>
    <w:bookmarkStart w:id="45" w:name="the-applicant"/>
    <w:p>
      <w:pPr>
        <w:pStyle w:val="Heading2"/>
        <w:pBdr>
          <w:bottom w:val="single" w:sz="6" w:space="2" w:color="C8C8C8"/>
        </w:pBdr>
      </w:pPr>
      <w:r>
        <w:t xml:space="preserve">2.5.8 The applicant</w:t>
      </w:r>
    </w:p>
    <w:p>
      <w:pPr>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about one day per week (roughly 20 percent) across the 24 months and drawing no salary from the grant (§2.6).</w:t>
      </w:r>
    </w:p>
    <w:p>
      <w:pPr>
        <w:pStyle w:val="BodyText"/>
        <w:jc w:val="both"/>
      </w:pPr>
      <w:r>
        <w:rPr>
          <w:b/>
          <w:bCs/>
        </w:rPr>
        <w:t xml:space="preserve">Fit of expertise to the proposed work.</w:t>
      </w:r>
      <w:r>
        <w:t xml:space="preserve"> </w:t>
      </w:r>
      <w:r>
        <w:t xml:space="preserve">The scientific foundation is the PI's own study [1]: the ELF dataset, law, JP and fleet result. The work plan maps onto that record across all five packages, and the harness, models and simulation are built and validated. Beyond the study, the PI brings three decades in industry and academia: capacity and cost engineering, including system-sizing that saved a large operator about $10M; research and patents in computationally efficient computing (CalexNet); and graduate teaching at HIT, Afeka, Bar-Ilan and Tel-Aviv University.</w:t>
      </w:r>
    </w:p>
    <w:p>
      <w:pPr>
        <w:pStyle w:val="BodyText"/>
        <w:bidi/>
        <w:jc w:val="both"/>
      </w:pPr>
      <w:r>
        <w:rPr>
          <w:b/>
          <w:bCs/>
          <w:rtl/>
        </w:rPr>
        <w:t xml:space="preserve">Research personnel.</w:t>
      </w:r>
      <w:r>
        <w:rPr>
          <w:rtl/>
        </w:rPr>
        <w:t xml:space="preserve"> </w:t>
      </w:r>
      <w:r>
        <w:rPr>
          <w:rtl/>
        </w:rPr>
        <w:t xml:space="preserve">One postdoctoral researcher at 90% position, both years, carries the measurement, modeling and control work under the PI's supervision, reported within a month of signature (נספח טז' §2.5). Core profile required at hiring: GPU systems and energy instrumentation (NVML/RAPL/BMC), machine-learning systems, and optimization or control. The grid-flexibility and techno-economic analysis of WP4 and WP5 is public-data modeling on Noga and Electricity Authority figures, developed on the project under the PI's direction, and needs no dedicated power-systems hire. Recruitment runs through HIT and national postdoctoral channels; if the month-1 start slips the PI runs the WP1 bench directly (the ELF harness is his), so the minimum-success path holds.</w:t>
      </w:r>
    </w:p>
    <w:p>
      <w:pPr>
        <w:pStyle w:val="BodyText"/>
        <w:jc w:val="both"/>
      </w:pPr>
      <w:r>
        <w:rPr>
          <w:b/>
          <w:bCs/>
        </w:rPr>
        <w:t xml:space="preserve">Advisor.</w:t>
      </w:r>
      <w:r>
        <w:t xml:space="preserve"> </w:t>
      </w:r>
      <w:r>
        <w:t xml:space="preserve">Prof. Moshe Tshuva (Afeka College of Engineering), a senior energy-systems engineer with over two decades in energy-systems management and energy efficiency, advises the techno-economic and connection-valuation analysis (WP5) and the energy-systems basis of the project’s benefit and impact case.</w:t>
      </w:r>
    </w:p>
    <w:p>
      <w:pPr>
        <w:pStyle w:val="BodyText"/>
        <w:jc w:val="both"/>
      </w:pPr>
      <w:r>
        <w:rPr>
          <w:b/>
          <w:bCs/>
        </w:rPr>
        <w:t xml:space="preserve">Resources.</w:t>
      </w:r>
      <w:r>
        <w:t xml:space="preserve"> </w:t>
      </w:r>
      <w:r>
        <w:t xml:space="preserve">The project owns no hardware: board sweeps on AWS EC2 (root), the CPU-domain tier on AWS bare metal, and the wall tier and WP4 demonstration on hourly BMC-metered dedicated servers. HIT provides laboratory space, computing and grant administration.</w:t>
      </w:r>
    </w:p>
    <w:bookmarkEnd w:id="45"/>
    <w:bookmarkStart w:id="46" w:name="funding"/>
    <w:p>
      <w:pPr>
        <w:pStyle w:val="Heading2"/>
        <w:pBdr>
          <w:bottom w:val="single" w:sz="6" w:space="2" w:color="C8C8C8"/>
        </w:pBdr>
      </w:pPr>
      <w:r>
        <w:t xml:space="preserve">2.5.9 Funding</w:t>
      </w:r>
    </w:p>
    <w:p>
      <w:pPr>
        <w:pStyle w:val="FirstParagraph"/>
        <w:bidi/>
        <w:jc w:val="both"/>
      </w:pPr>
      <w:r>
        <w:rPr>
          <w:rtl/>
        </w:rPr>
        <w:t xml:space="preserve">No other funding exists or is applied for; per נספח טז' §1.5.2 and §2.10, no complementary funding will be received and no student receives parallel state funding.</w:t>
      </w:r>
    </w:p>
    <w:bookmarkEnd w:id="46"/>
    <w:bookmarkStart w:id="50" w:name="bibliography"/>
    <w:p>
      <w:pPr>
        <w:pStyle w:val="Heading2"/>
        <w:pBdr>
          <w:bottom w:val="single" w:sz="6" w:space="2" w:color="C8C8C8"/>
        </w:pBdr>
      </w:pPr>
      <w:r>
        <w:t xml:space="preserve">2.5.10 Bibliography</w:t>
      </w:r>
    </w:p>
    <w:p>
      <w:pPr>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bidi/>
        <w:jc w:val="both"/>
      </w:pPr>
      <w:r>
        <w:rPr>
          <w:rtl/>
        </w:rPr>
        <w:t xml:space="preserve">Ministry of Energy and Infrastructure (2026).</w:t>
      </w:r>
      <w:r>
        <w:rPr>
          <w:rtl/>
        </w:rPr>
        <w:t xml:space="preserve"> </w:t>
      </w:r>
      <w:r>
        <w:rPr>
          <w:i/>
          <w:iCs/>
          <w:rtl/>
        </w:rPr>
        <w:t xml:space="preserve">מדיניות התמיכה במחקר ופיתוח לשנת 2026.</w:t>
      </w:r>
      <w:r>
        <w:rPr>
          <w:rtl/>
        </w:rPr>
        <w:t xml:space="preserve"> </w:t>
      </w:r>
      <w:r>
        <w:rPr>
          <w:rtl/>
        </w:rPr>
        <w:t xml:space="preserve">Chapter 1 clauses 6, 8, 15, 16; Chapter 2 priority list.</w:t>
      </w:r>
    </w:p>
    <w:p>
      <w:pPr>
        <w:pStyle w:val="Compact"/>
        <w:numPr>
          <w:ilvl w:val="0"/>
          <w:numId w:val="1004"/>
        </w:numPr>
        <w:bidi/>
        <w:jc w:val="both"/>
      </w:pPr>
      <w:r>
        <w:rPr>
          <w:rtl/>
        </w:rPr>
        <w:t xml:space="preserve">Ministry of Energy and Infrastructure (2026).</w:t>
      </w:r>
      <w:r>
        <w:rPr>
          <w:rtl/>
        </w:rPr>
        <w:t xml:space="preserve"> </w:t>
      </w:r>
      <w:r>
        <w:rPr>
          <w:i/>
          <w:iCs/>
          <w:rtl/>
        </w:rPr>
        <w:t xml:space="preserve">קול קורא 34/2026 למימון מחקרים בתחום האנרגיה ומדעי האדמה והים.</w:t>
      </w:r>
    </w:p>
    <w:p>
      <w:pPr>
        <w:pStyle w:val="Compact"/>
        <w:numPr>
          <w:ilvl w:val="0"/>
          <w:numId w:val="1004"/>
        </w:numPr>
        <w:bidi/>
        <w:jc w:val="both"/>
      </w:pPr>
      <w:r>
        <w:rPr>
          <w:rtl/>
        </w:rPr>
        <w:t xml:space="preserve">Calcalist (June 2026). Report on the Electricity Authority's public hearing (שימוע):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(the hearing documents are published on gov.il).</w:t>
      </w:r>
    </w:p>
    <w:p>
      <w:pPr>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bookmarkEnd w:id="50"/>
    <w:bookmarkStart w:id="60" w:name="X5d5bc83c2eef3c669b01ea2354df53c4eb22d2f"/>
    <w:p>
      <w:pPr>
        <w:pStyle w:val="Heading2"/>
        <w:pBdr>
          <w:bottom w:val="single" w:sz="6" w:space="2" w:color="C8C8C8"/>
        </w:pBdr>
        <w:bidi/>
        <w:jc w:val="right"/>
      </w:pPr>
      <w:r>
        <w:rPr>
          <w:rtl/>
        </w:rPr>
        <w:t xml:space="preserve">Appendix A: Figures (within the 5-page allowance of נספח א'1 §2.2)</w:t>
      </w:r>
    </w:p>
    <w:p>
      <w:pPr>
        <w:pStyle w:val="FirstParagraph"/>
        <w:bidi/>
        <w:jc w:val="both"/>
      </w:pPr>
      <w:r>
        <w:rPr>
          <w:rtl/>
        </w:rPr>
        <w:t xml:space="preserve">JouleFlex · קול קורא 34/2026 · Appendix to the research proposal, permitted under נספח א'1 §2.2 (graphs, tables and</w:t>
      </w:r>
      <w:r>
        <w:rPr>
          <w:rtl/>
        </w:rPr>
        <w:t xml:space="preserve"> </w:t>
      </w:r>
      <w:r>
        <w:rPr>
          <w:rtl/>
        </w:rPr>
        <w:t xml:space="preserve">diagrams, up to 5 A4 pages, outside the 10-page limit). All figures are measured results from the applicant's study [1].</w:t>
      </w:r>
    </w:p>
    <w:p>
      <w:pPr>
        <w:pStyle w:val="BodyText"/>
        <w:jc w:val="both"/>
      </w:pPr>
      <w:r>
        <w:drawing>
          <wp:inline>
            <wp:extent cx="5727700" cy="1819068"/>
            <wp:effectExtent b="0" l="0" r="0" t="0"/>
            <wp:docPr descr="The response law P(theta)=P0+a*theta^beta is a card property" title="" id="52"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3" name="Picture"/>
                    <pic:cNvPicPr>
                      <a:picLocks noChangeArrowheads="1" noChangeAspect="1"/>
                    </pic:cNvPicPr>
                  </pic:nvPicPr>
                  <pic:blipFill>
                    <a:blip r:embed="rId51"/>
                    <a:stretch>
                      <a:fillRect/>
                    </a:stretch>
                  </pic:blipFill>
                  <pic:spPr bwMode="auto">
                    <a:xfrm>
                      <a:off x="0" y="0"/>
                      <a:ext cx="5727700" cy="1819068"/>
                    </a:xfrm>
                    <a:prstGeom prst="rect">
                      <a:avLst/>
                    </a:prstGeom>
                    <a:noFill/>
                    <a:ln w="9525">
                      <a:noFill/>
                      <a:headEnd/>
                      <a:tailEnd/>
                    </a:ln>
                  </pic:spPr>
                </pic:pic>
              </a:graphicData>
            </a:graphic>
          </wp:inline>
        </w:drawing>
      </w:r>
    </w:p>
    <w:p>
      <w:pPr>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BodyText"/>
        <w:jc w:val="both"/>
      </w:pPr>
      <w:r>
        <w:drawing>
          <wp:inline>
            <wp:extent cx="5727700" cy="3953299"/>
            <wp:effectExtent b="0" l="0" r="0" t="0"/>
            <wp:docPr descr="Energy per inference is U-shaped in the power cap; the minimum is the JP" title="" id="55"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6" name="Picture"/>
                    <pic:cNvPicPr>
                      <a:picLocks noChangeArrowheads="1" noChangeAspect="1"/>
                    </pic:cNvPicPr>
                  </pic:nvPicPr>
                  <pic:blipFill>
                    <a:blip r:embed="rId54"/>
                    <a:stretch>
                      <a:fillRect/>
                    </a:stretch>
                  </pic:blipFill>
                  <pic:spPr bwMode="auto">
                    <a:xfrm>
                      <a:off x="0" y="0"/>
                      <a:ext cx="5727700" cy="3953299"/>
                    </a:xfrm>
                    <a:prstGeom prst="rect">
                      <a:avLst/>
                    </a:prstGeom>
                    <a:noFill/>
                    <a:ln w="9525">
                      <a:noFill/>
                      <a:headEnd/>
                      <a:tailEnd/>
                    </a:ln>
                  </pic:spPr>
                </pic:pic>
              </a:graphicData>
            </a:graphic>
          </wp:inline>
        </w:drawing>
      </w:r>
    </w:p>
    <w:p>
      <w:pPr>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BodyText"/>
        <w:jc w:val="both"/>
      </w:pPr>
      <w:r>
        <w:drawing>
          <wp:inline>
            <wp:extent cx="5727700" cy="3733460"/>
            <wp:effectExtent b="0" l="0" r="0" t="0"/>
            <wp:docPr descr="Behind a fixed power feed, inferences per megawatt peak at the JP" title="" id="58"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59" name="Picture"/>
                    <pic:cNvPicPr>
                      <a:picLocks noChangeArrowheads="1" noChangeAspect="1"/>
                    </pic:cNvPicPr>
                  </pic:nvPicPr>
                  <pic:blipFill>
                    <a:blip r:embed="rId57"/>
                    <a:stretch>
                      <a:fillRect/>
                    </a:stretch>
                  </pic:blipFill>
                  <pic:spPr bwMode="auto">
                    <a:xfrm>
                      <a:off x="0" y="0"/>
                      <a:ext cx="5727700" cy="3733460"/>
                    </a:xfrm>
                    <a:prstGeom prst="rect">
                      <a:avLst/>
                    </a:prstGeom>
                    <a:noFill/>
                    <a:ln w="9525">
                      <a:noFill/>
                      <a:headEnd/>
                      <a:tailEnd/>
                    </a:ln>
                  </pic:spPr>
                </pic:pic>
              </a:graphicData>
            </a:graphic>
          </wp:inline>
        </w:drawing>
      </w:r>
    </w:p>
    <w:p>
      <w:pPr>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0"/>
    <w:bookmarkStart w:id="61" w:name="Xb70b95b8b38ded80618834689cadeac3dd55d32"/>
    <w:p>
      <w:pPr>
        <w:pStyle w:val="Heading2"/>
        <w:pBdr>
          <w:bottom w:val="single" w:sz="6" w:space="2" w:color="C8C8C8"/>
        </w:pBdr>
      </w:pPr>
      <w:r>
        <w:t xml:space="preserve">Table A1. The five deliverables: what each is, who uses it</w:t>
      </w:r>
    </w:p>
    <w:p>
      <w:pPr>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Deliverable</w:t>
            </w:r>
          </w:p>
        </w:tc>
        <w:tc>
          <w:tcPr/>
          <w:p>
            <w:pPr>
              <w:pStyle w:val="Compact"/>
              <w:jc w:val="both"/>
            </w:pPr>
            <w:r>
              <w:t xml:space="preserve">What it is</w:t>
            </w:r>
          </w:p>
        </w:tc>
        <w:tc>
          <w:tcPr/>
          <w:p>
            <w:pPr>
              <w:pStyle w:val="Compact"/>
              <w:jc w:val="both"/>
            </w:pPr>
            <w:r>
              <w:t xml:space="preserve">Who uses it, for what</w:t>
            </w:r>
          </w:p>
        </w:tc>
      </w:tr>
      <w:tr>
        <w:tc>
          <w:tcPr/>
          <w:p>
            <w:pPr>
              <w:pStyle w:val="Compact"/>
              <w:jc w:val="both"/>
            </w:pPr>
            <w:r>
              <w:rPr>
                <w:b/>
                <w:bCs/>
              </w:rPr>
              <w:t xml:space="preserve">ELF-2</w:t>
            </w:r>
          </w:p>
        </w:tc>
        <w:tc>
          <w:tcPr/>
          <w:p>
            <w:pPr>
              <w:pStyle w:val="Compact"/>
              <w:jc w:val="both"/>
            </w:pPr>
            <w:r>
              <w:t xml:space="preserve">An open dataset: power, throughput and latency at every operating point, board to wall, on current GPUs and production serving software</w:t>
            </w:r>
          </w:p>
        </w:tc>
        <w:tc>
          <w:tcPr/>
          <w:p>
            <w:pPr>
              <w:pStyle w:val="Compact"/>
              <w:jc w:val="both"/>
            </w:pPr>
            <w:r>
              <w:t xml:space="preserve">Researchers and vendors, as ground truth; every other deliverable is built and validated on it</w:t>
            </w:r>
          </w:p>
        </w:tc>
      </w:tr>
      <w:tr>
        <w:tc>
          <w:tcPr/>
          <w:p>
            <w:pPr>
              <w:pStyle w:val="Compact"/>
              <w:jc w:val="both"/>
            </w:pPr>
            <w:r>
              <w:rPr>
                <w:b/>
                <w:bCs/>
              </w:rPr>
              <w:t xml:space="preserve">The characterization kit</w:t>
            </w:r>
          </w:p>
        </w:tc>
        <w:tc>
          <w:tcPr/>
          <w:p>
            <w:pPr>
              <w:pStyle w:val="Compact"/>
              <w:jc w:val="both"/>
            </w:pPr>
            <w:r>
              <w:t xml:space="preserve">Software plus protocol: a one-test procedure and the two fitted models placing the JP of a new or unmeasured card within the validated hardware domain, in hours</w:t>
            </w:r>
          </w:p>
        </w:tc>
        <w:tc>
          <w:tcPr/>
          <w:p>
            <w:pPr>
              <w:pStyle w:val="Compact"/>
              <w:jc w:val="both"/>
            </w:pPr>
            <w:r>
              <w:t xml:space="preserve">A GPU engineer or operator qualifying a new card model or a new serving stack before deployment, at known cost</w:t>
            </w:r>
          </w:p>
        </w:tc>
      </w:tr>
      <w:tr>
        <w:tc>
          <w:tcPr/>
          <w:p>
            <w:pPr>
              <w:pStyle w:val="Compact"/>
              <w:jc w:val="both"/>
            </w:pPr>
            <w:r>
              <w:rPr>
                <w:b/>
                <w:bCs/>
              </w:rPr>
              <w:t xml:space="preserve">The control engine</w:t>
            </w:r>
          </w:p>
        </w:tc>
        <w:tc>
          <w:tcPr/>
          <w:p>
            <w:pPr>
              <w:pStyle w:val="Compact"/>
              <w:jc w:val="both"/>
            </w:pPr>
            <w:r>
              <w:t xml:space="preserve">An open-source control engine that assigns jobs and sets caps to keep a fleet inside its envelope, evaluated in the twin and demonstrated on a metered rented server before any deployment</w:t>
            </w:r>
          </w:p>
        </w:tc>
        <w:tc>
          <w:tcPr/>
          <w:p>
            <w:pPr>
              <w:pStyle w:val="Compact"/>
              <w:jc w:val="both"/>
            </w:pPr>
            <w:r>
              <w:t xml:space="preserve">An AI data-center manager, to cut energy per job and honor a committed envelope; its report doubles as the compliance record</w:t>
            </w:r>
          </w:p>
        </w:tc>
      </w:tr>
      <w:tr>
        <w:tc>
          <w:tcPr/>
          <w:p>
            <w:pPr>
              <w:pStyle w:val="Compact"/>
              <w:jc w:val="both"/>
            </w:pPr>
            <w:r>
              <w:rPr>
                <w:b/>
                <w:bCs/>
              </w:rPr>
              <w:t xml:space="preserve">The digital twin</w:t>
            </w:r>
          </w:p>
        </w:tc>
        <w:tc>
          <w:tcPr/>
          <w:p>
            <w:pPr>
              <w:pStyle w:val="Compact"/>
              <w:jc w:val="both"/>
            </w:pPr>
            <w:r>
              <w:t xml:space="preserve">A simulator replaying the measured curves of a described fleet and job mix, evaluating any policy or envelope scenario exactly before hardware is touched</w:t>
            </w:r>
          </w:p>
        </w:tc>
        <w:tc>
          <w:tcPr/>
          <w:p>
            <w:pPr>
              <w:pStyle w:val="Compact"/>
              <w:jc w:val="both"/>
            </w:pPr>
            <w:r>
              <w:t xml:space="preserve">An operator testing policies before deployment; a planner or regulator asking what a proposed facility could deliver and shed under a given connection</w:t>
            </w:r>
          </w:p>
        </w:tc>
      </w:tr>
      <w:tr>
        <w:tc>
          <w:tcPr/>
          <w:p>
            <w:pPr>
              <w:pStyle w:val="Compact"/>
              <w:jc w:val="both"/>
            </w:pPr>
            <w:r>
              <w:rPr>
                <w:b/>
                <w:bCs/>
              </w:rPr>
              <w:t xml:space="preserve">The grid interface and policy report</w:t>
            </w:r>
          </w:p>
        </w:tc>
        <w:tc>
          <w:tcPr/>
          <w:p>
            <w:pPr>
              <w:pStyle w:val="Compact"/>
              <w:jc w:val="both"/>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both"/>
            </w:pPr>
            <w:r>
              <w:t xml:space="preserve">The Electricity Authority and Noga, as the technical basis for offering conditional connections and auditing compliance</w:t>
            </w:r>
          </w:p>
        </w:tc>
      </w:tr>
    </w:tbl>
    <w:p>
      <w:pPr>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1"/>
    <w:sect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12" w:lineRule="auto"/>
      <w:jc w:val="both"/>
    </w:pPr>
    <w:rPr>
      <w:rFonts w:ascii="David" w:cs="David" w:hAnsi="David"/>
      <w:color w:val="111111"/>
      <w:sz w:val="24"/>
    </w:rPr>
  </w:style>
  <w:style w:styleId="BodyText" w:type="paragraph">
    <w:name w:val="Body Text"/>
    <w:basedOn w:val="Normal"/>
    <w:link w:val="BodyTextChar"/>
    <w:qFormat/>
    <w:pPr>
      <w:spacing w:after="80" w:before="0" w:line="312" w:lineRule="auto"/>
      <w:jc w:val="both"/>
    </w:pPr>
    <w:rPr>
      <w:rFonts w:ascii="David" w:cs="David" w:hAnsi="David"/>
      <w:color w:val="111111"/>
      <w:sz w:val="24"/>
    </w:rPr>
  </w:style>
  <w:style w:customStyle="1" w:styleId="FirstParagraph" w:type="paragraph">
    <w:name w:val="First Paragraph"/>
    <w:basedOn w:val="BodyText"/>
    <w:next w:val="BodyText"/>
    <w:qFormat/>
    <w:pPr>
      <w:spacing w:after="80" w:before="0" w:line="312" w:lineRule="auto"/>
      <w:jc w:val="both"/>
    </w:pPr>
    <w:rPr>
      <w:rFonts w:ascii="David" w:cs="David" w:hAnsi="David"/>
      <w:color w:val="111111"/>
      <w:sz w:val="24"/>
    </w:rPr>
  </w:style>
  <w:style w:customStyle="1" w:styleId="Compact" w:type="paragraph">
    <w:name w:val="Compact"/>
    <w:basedOn w:val="BodyText"/>
    <w:qFormat/>
    <w:pPr>
      <w:spacing w:after="80" w:before="0" w:line="312" w:lineRule="auto"/>
      <w:jc w:val="both"/>
    </w:pPr>
    <w:rPr>
      <w:rFonts w:ascii="David" w:cs="David" w:hAnsi="David"/>
      <w:color w:val="111111"/>
      <w:sz w:val="24"/>
    </w:rPr>
  </w:style>
  <w:style w:styleId="Title" w:type="paragraph">
    <w:name w:val="Title"/>
    <w:basedOn w:val="Normal"/>
    <w:next w:val="BodyText"/>
    <w:qFormat/>
    <w:pPr>
      <w:keepNext/>
      <w:keepLines/>
      <w:spacing w:after="60" w:before="160" w:line="264" w:lineRule="auto"/>
      <w:jc w:val="left"/>
    </w:pPr>
    <w:rPr>
      <w:rFonts w:ascii="David" w:asciiTheme="majorHAnsi" w:cs="David" w:cstheme="majorBidi" w:eastAsiaTheme="majorEastAsia" w:hAnsi="David" w:hAnsiTheme="majorHAnsi"/>
      <w:b/>
      <w:bCs/>
      <w:color w:val="0B4F6C"/>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51" Type="http://schemas.openxmlformats.org/officeDocument/2006/relationships/image" Target="media/rId51.png"/><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JouleFlex proposal</dc:title>
  <dc:creator/>
  <cp:keywords/>
  <dcterms:created xsi:type="dcterms:W3CDTF">2026-09-12T05:56:05Z</dcterms:created>
  <dcterms:modified xsi:type="dcterms:W3CDTF">2026-09-12T05:56:05Z</dcterms:modified>
</cp:coreProperties>
</file>

<file path=docProps/custom.xml><?xml version="1.0" encoding="utf-8"?>
<Properties xmlns="http://schemas.openxmlformats.org/officeDocument/2006/custom-properties" xmlns:vt="http://schemas.openxmlformats.org/officeDocument/2006/docPropsVTypes"/>
</file>