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299300-words"/>
    <w:p>
      <w:pPr>
        <w:keepLines w:val="0"/>
        <w:keepNext w:val="0"/>
        <w:widowControl w:val="0"/>
        <w:pStyle w:val="Heading3"/>
        <w:jc w:val="left"/>
      </w:pPr>
      <w:r>
        <w:rPr>
          <w:color w:val="111111"/>
        </w:rPr>
        <w:t xml:space="preserve">English (299/300 words)</w:t>
      </w:r>
    </w:p>
    <w:p>
      <w:pPr>
        <w:widowControl w:val="0"/>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Aviation solved the same problem: fuel flow rises far faster than speed, yet slow flight burns fuel longer, so airlines cruise at the speed minimizing fuel per kilometer.</w:t>
      </w:r>
    </w:p>
    <w:p>
      <w:pPr>
        <w:widowControl w:val="0"/>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served equal work with 18 to 45 percent less energy: about 50 percent more AI work per megawatt.</w:t>
      </w:r>
    </w:p>
    <w:p>
      <w:pPr>
        <w:widowControl w:val="0"/>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curtailable connection capacity for Israel’s flexible-connection scheme.</w:t>
      </w:r>
    </w:p>
    <w:bookmarkEnd w:id="22"/>
    <w:bookmarkStart w:id="23" w:name="עברית-300300-מילים"/>
    <w:p>
      <w:pPr>
        <w:keepLines w:val="0"/>
        <w:keepNext w:val="0"/>
        <w:widowControl w:val="0"/>
        <w:pStyle w:val="Heading3"/>
        <w:bidi/>
        <w:jc w:val="right"/>
      </w:pPr>
      <w:r>
        <w:rPr>
          <w:color w:val="111111"/>
          <w:rtl/>
        </w:rPr>
        <w:t xml:space="preserve">עברית (300/300 מילים)</w:t>
      </w:r>
    </w:p>
    <w:p>
      <w:pPr>
        <w:widowControl w:val="0"/>
        <w:pStyle w:val="FirstParagraph"/>
        <w:bidi/>
        <w:jc w:val="both"/>
      </w:pPr>
      <w:r>
        <w:rPr>
          <w:rtl/>
        </w:rPr>
        <w:t xml:space="preserve">ביולי 2026 הקפיאה רשות החשמל בקשות חיבור חדשות של חוות שרתים (מרכזי נתונים) לרשת החשמל, לאחר שהתור הגיע ל-27,000 מגה-ואט. כאשר אספקת החשמל מוגבלת, חוות שרתים מכבות מעבדי GPU או קובעות להם תקרת הספק, ומחליטות בוואטים (ההספק הרגעי) ולא בג'ולים (האנרגיה הנצרכת). מעבד GPU שתקרת ההספק שלו נמוכה מדי מחשב לאט יותר וצורך את הספק הסרק שלו לאורך זמן, ולכן האנרגיה ליחידת חישוב מועיל עולה אף שקריאת ההספק יורדת: פחות בינה מלאכותית לכל קילוואט-שעה. התעופה פתרה אתגר דומה: צריכת הדלק עולה מהר מן המהירות, אך טיסה איטית שורפת דלק זמן רב יותר, ולכן משייטים במהירות הממזערת דלק לקילומטר.</w:t>
      </w:r>
    </w:p>
    <w:p>
      <w:pPr>
        <w:widowControl w:val="0"/>
        <w:pStyle w:val="BodyText"/>
        <w:bidi/>
        <w:jc w:val="both"/>
      </w:pPr>
      <w:r>
        <w:rPr>
          <w:rtl/>
        </w:rPr>
        <w:t xml:space="preserve">מחקר שערך החוקר הראשי [1] מדד את הפשרה בין זמן להספק בעומסי עבודה של בינה מלאכותית (5,500 מדידות, 20 מודלים, ארבעה מעבדי GPU). האנרגיה למשימה מתארת עקומת U כתלות בתקרת ההספק. בדגמי ה-GPU הגדולים נקודת המינימום, נקודת הג'ול (Joule Point; JP), מצויה ב-43 עד 46 אחוזים מההספק הנקוב; הפעלת מעבד GPU בנקודה זו הפחיתה את האנרגיה למשימה ב-29 עד 31 אחוזים בעוד הריצה התארכה פי 1.2. אף תחת מגבלת זמן קשיחה, הגבלת ההספק חסכה 28 אחוזים מהאנרגיה תוך שמירת 95 אחוזים מערך העבודה. סימולציה של צי מעבדים על העקומות שנמדדו סיפקה עבודה שווה בצריכת אנרגיה נמוכה ב-18 עד 45 אחוזים: כ-50 אחוזים יותר עבודת בינה מלאכותית לכל מגה-ואט.</w:t>
      </w:r>
    </w:p>
    <w:p>
      <w:pPr>
        <w:widowControl w:val="0"/>
        <w:pStyle w:val="BodyText"/>
        <w:bidi/>
        <w:jc w:val="both"/>
      </w:pPr>
      <w:r>
        <w:rPr>
          <w:rtl/>
        </w:rPr>
        <w:t xml:space="preserve">תובנות אלה משנות את תכנון, ניהול ותמחור חוות השרתים לבינה מלאכותית, ומעלות החלטות שאין להן כלי תומך: כיצד לתכנן צי המותאם להסדר חיבור גמיש שמעבדי ה-GPU שלו פועלים סמוך ל-JP; כיצד למדוד ולחזות את ה-JP עבור משימות ומעבדי GPU חדשים; וכיצד לתמחר את השירות כך שיתמרץ לקוחות להתייעלות באנרגיה, במקום חיוב שעתי המתגמל את נקודת ההפעלה הבזבזנית ביותר. כל אחת מהן היא בעיית מידול. הפרויקט יספק ערכת כלים תומכת החלטות העונה על שלושתן, שתשוחרר עם מאגר מדידות פתוח. צי הפועל סמוך ל-JP משחרר קיבולת חיבור הניתנת להפחתה עבור הסדר החיבור הגמיש של רשות החשמל.</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w:t>
            </w:r>
          </w:p>
        </w:tc>
        <w:tc>
          <w:tcPr/>
          <w:p>
            <w:pPr>
              <w:spacing w:line="317" w:lineRule="auto" w:before="20" w:after="20"/>
              <w:widowControl w:val="0"/>
              <w:pStyle w:val="Compact"/>
              <w:jc w:val="both"/>
            </w:pPr>
            <w:r>
              <w:rPr>
                <w:sz w:val="21"/>
                <w:szCs w:val="21"/>
              </w:rPr>
              <w:t xml:space="preserve">How fast electricity is drawn at a given moment; watts (W) or megawatts (MW). The grid connection is sized by peak power.</w:t>
            </w:r>
          </w:p>
        </w:tc>
      </w:tr>
      <w:tr>
        <w:trPr/>
        <w:tc>
          <w:tcPr/>
          <w:p>
            <w:pPr>
              <w:spacing w:line="317" w:lineRule="auto" w:before="20" w:after="20"/>
              <w:widowControl w:val="0"/>
              <w:pStyle w:val="Compact"/>
              <w:jc w:val="both"/>
            </w:pPr>
            <w:r>
              <w:rPr>
                <w:sz w:val="21"/>
                <w:szCs w:val="21"/>
              </w:rPr>
              <w:t xml:space="preserve">Energy</w:t>
            </w:r>
          </w:p>
        </w:tc>
        <w:tc>
          <w:tcPr/>
          <w:p>
            <w:pPr>
              <w:spacing w:line="317" w:lineRule="auto" w:before="20" w:after="20"/>
              <w:widowControl w:val="0"/>
              <w:pStyle w:val="Compact"/>
              <w:jc w:val="both"/>
            </w:pPr>
            <w:r>
              <w:rPr>
                <w:sz w:val="21"/>
                <w:szCs w:val="21"/>
              </w:rPr>
              <w:t xml:space="preserve">The total electricity consumed: power × time; joules or kilowatt-hours. The bill and the carbon footprint are set by energy.</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Set with one command; takes effect in ~0.2 seconds. The control knob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envelope</w:t>
            </w:r>
          </w:p>
        </w:tc>
        <w:tc>
          <w:tcPr/>
          <w:p>
            <w:pPr>
              <w:spacing w:line="317" w:lineRule="auto" w:before="20" w:after="20"/>
              <w:widowControl w:val="0"/>
              <w:pStyle w:val="Compact"/>
              <w:jc w:val="both"/>
            </w:pPr>
            <w:r>
              <w:rPr>
                <w:sz w:val="21"/>
                <w:szCs w:val="21"/>
              </w:rPr>
              <w:t xml:space="preserve">A limit on a facility's total power draw that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Power shaping</w:t>
            </w:r>
          </w:p>
        </w:tc>
        <w:tc>
          <w:tcPr/>
          <w:p>
            <w:pPr>
              <w:spacing w:line="317" w:lineRule="auto" w:before="20" w:after="20"/>
              <w:widowControl w:val="0"/>
              <w:pStyle w:val="Compact"/>
              <w:jc w:val="both"/>
            </w:pPr>
            <w:r>
              <w:rPr>
                <w:sz w:val="21"/>
                <w:szCs w:val="21"/>
              </w:rPr>
              <w:t xml:space="preserve">Keeping a fleet inside a power envelope by capping jobs, like traffic shaping in networks.</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Our released dataset: dense power-cap sweeps of 20 AI models on 4 GPUs,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Grid connection capacity guaranteed at all times, versus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Card multiplier</w:t>
            </w:r>
          </w:p>
        </w:tc>
        <w:tc>
          <w:tcPr/>
          <w:p>
            <w:pPr>
              <w:spacing w:line="317" w:lineRule="auto" w:before="20" w:after="20"/>
              <w:widowControl w:val="0"/>
              <w:pStyle w:val="Compact"/>
              <w:jc w:val="both"/>
            </w:pPr>
            <w:r>
              <w:rPr>
                <w:sz w:val="21"/>
                <w:szCs w:val="21"/>
              </w:rPr>
              <w:t xml:space="preserve">The extra cards needed to keep total throughput when capping. It equals the latency ratio (~1.2×).</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 design power (TDP),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widowControl w:val="0"/>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Can an AI data center run as a controllable electrical load under Israeli grid constraints: each GPU near its energy-optimal cap, the facility inside a changing power limit, less energy and less connected power per unit of AI work, and every admitted job still meeting its deadline?</w:t>
      </w:r>
    </w:p>
    <w:p>
      <w:pPr>
        <w:widowControl w:val="0"/>
        <w:pStyle w:val="BodyText"/>
        <w:jc w:val="both"/>
      </w:pPr>
      <w:r>
        <w:t xml:space="preserve">Six sub-questions structure the work plan:</w:t>
      </w:r>
    </w:p>
    <w:p>
      <w:pPr>
        <w:widowControl w:val="0"/>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H100/L40S-class hardware (B200-class as access allows), production serving software, and shared GPUs?</w:t>
      </w:r>
    </w:p>
    <w:p>
      <w:pPr>
        <w:widowControl w:val="0"/>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widowControl w:val="0"/>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widowControl w:val="0"/>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widowControl w:val="0"/>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widowControl w:val="0"/>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widowControl w:val="0"/>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w:t>
      </w:r>
    </w:p>
    <w:p>
      <w:pPr>
        <w:widowControl w:val="0"/>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workloads.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AI data centers have been demonstrated as grid assets [21] by following a facility power target and cutting low-priority work first; JouleFlex instead runs each job at its measured energy optimum and states the firm and flexible capacity in MW, ramp time and recovery time.</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The law's reach is unmapped.</w:t>
      </w:r>
      <w:r>
        <w:t xml:space="preserve"> </w:t>
      </w:r>
      <w:r>
        <w:t xml:space="preserve">It is established for single jobs at fixed settings on the three finely swept GPUs (A100, A10G, L4); its persistence on H100 and, as access allows, B200-class hardware, production serving software and shared cards is unknown, and placing the JP on a new GPU still requires a full sweep [1].</w:t>
      </w:r>
    </w:p>
    <w:p>
      <w:pPr>
        <w:widowControl w:val="0"/>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widowControl w:val="0"/>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widowControl w:val="0"/>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widowControl w:val="0"/>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widowControl w:val="0"/>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sz w:val="21"/>
                <w:szCs w:val="21"/>
              </w:rPr>
              <w:t xml:space="preserve">Extend the energy-versus-power measurements to current GPUs, production software, and whole-server power.</w:t>
            </w:r>
          </w:p>
        </w:tc>
        <w:tc>
          <w:tcPr/>
          <w:p>
            <w:pPr>
              <w:spacing w:line="317" w:lineRule="auto" w:before="20" w:after="20"/>
              <w:widowControl w:val="0"/>
              <w:pStyle w:val="Compact"/>
              <w:jc w:val="both"/>
            </w:pPr>
            <w:r>
              <w:rPr>
                <w:sz w:val="21"/>
                <w:szCs w:val="21"/>
              </w:rPr>
              <w:t xml:space="preserve">Re-run the study's measurement sweep on current GPUs (H100/L40S class) and production serving engines (vLLM [16], TensorRT-LLM), reading power at three tiers: GPU board (NVML), host CPU (RAPL), and server-input, the wall tier (BMC via IPMI/Redfish). The JP is the energy minimum, where the tangent from the origin meets P(θ) (dE/dθ = 0); a meter gain error leaves its location unchanged while an additive offset shifts it, so JP location and per-card savings are gain-robust, while absolute board-to-wall and megawatt figures carry the offset caveat.</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sz w:val="21"/>
                <w:szCs w:val="21"/>
              </w:rPr>
              <w:t xml:space="preserve">Predict any new card's or job's efficient operating point without a full measurement sweep.</w:t>
            </w:r>
          </w:p>
        </w:tc>
        <w:tc>
          <w:tcPr/>
          <w:p>
            <w:pPr>
              <w:spacing w:line="317" w:lineRule="auto" w:before="20" w:after="20"/>
              <w:widowControl w:val="0"/>
              <w:pStyle w:val="Compact"/>
              <w:jc w:val="both"/>
            </w:pPr>
            <w:r>
              <w:rPr>
                <w:sz w:val="21"/>
                <w:szCs w:val="21"/>
              </w:rP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sz w:val="21"/>
                <w:szCs w:val="21"/>
              </w:rPr>
              <w:t xml:space="preserve">Decide, in real time, which job runs on which card and at what power cap, to do the most useful work within a changing power limit.</w:t>
            </w:r>
          </w:p>
        </w:tc>
        <w:tc>
          <w:tcPr/>
          <w:p>
            <w:pPr>
              <w:spacing w:line="317" w:lineRule="auto" w:before="20" w:after="20"/>
              <w:widowControl w:val="0"/>
              <w:pStyle w:val="Compact"/>
              <w:jc w:val="both"/>
            </w:pPr>
            <w:r>
              <w:rPr>
                <w:sz w:val="21"/>
                <w:szCs w:val="21"/>
              </w:rP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sz w:val="21"/>
                <w:szCs w:val="21"/>
              </w:rPr>
              <w:t xml:space="preserve">Define what flexibility a controlled facility can offer the grid, and measure it.</w:t>
            </w:r>
          </w:p>
        </w:tc>
        <w:tc>
          <w:tcPr/>
          <w:p>
            <w:pPr>
              <w:spacing w:line="317" w:lineRule="auto" w:before="20" w:after="20"/>
              <w:widowControl w:val="0"/>
              <w:pStyle w:val="Compact"/>
              <w:jc w:val="both"/>
            </w:pPr>
            <w:r>
              <w:rPr>
                <w:sz w:val="21"/>
                <w:szCs w:val="21"/>
              </w:rP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sz w:val="21"/>
                <w:szCs w:val="21"/>
              </w:rPr>
              <w:t xml:space="preserve">Find pricing and connection rules that reward efficient operation, and release everything openly.</w:t>
            </w:r>
          </w:p>
        </w:tc>
        <w:tc>
          <w:tcPr/>
          <w:p>
            <w:pPr>
              <w:spacing w:line="317" w:lineRule="auto" w:before="20" w:after="20"/>
              <w:widowControl w:val="0"/>
              <w:pStyle w:val="Compact"/>
              <w:jc w:val="both"/>
            </w:pPr>
            <w:r>
              <w:rPr>
                <w:sz w:val="21"/>
                <w:szCs w:val="21"/>
              </w:rPr>
              <w:t xml:space="preserve">An incentive model showing why per-hour billing rewards the energy-worst point and what changes fix it; a valuation of the flexible-connection option from public Noga and Electricity Authority data; each rule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p>
      <w:pPr>
        <w:widowControl w:val="0"/>
        <w:pStyle w:val="BodyText"/>
        <w:jc w:val="both"/>
      </w:pPr>
      <w:r>
        <w:t xml:space="preserve">Success metrics are pre-registered per work package; the stage table in 2.5.7.1 states each threshold.</w:t>
      </w:r>
    </w:p>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FirstParagraph"/>
        <w:jc w:val="both"/>
      </w:pPr>
      <w:r>
        <w:t xml:space="preserve">The measured law and the JP are established preliminary results [1]; the project’s novelty is the frontier built on them:</w:t>
      </w:r>
    </w:p>
    <w:p>
      <w:pPr>
        <w:widowControl w:val="0"/>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widowControl w:val="0"/>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widowControl w:val="0"/>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w:t>
      </w:r>
    </w:p>
    <w:p>
      <w:pPr>
        <w:widowControl w:val="0"/>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w:t>
      </w:r>
    </w:p>
    <w:p>
      <w:pPr>
        <w:widowControl w:val="0"/>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in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the instrument for topics 8 and 6: the WP2 job model predicts a job’s energy-optimal cap from its features and the transfer model predicts a new card’s curve from its specifications plus one short test; the WP3 controller solves joint allocation-and-capping over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facility holding a committed envelope and shedding on instruction is a demand-response resource; cap actuation settles in about 0.2 s at the card and the demonstration targets a 60-second facility ramp, a response time within a demand-response window, letting a system operator on an isolated grid count AI load as reserve.</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Under the strict-deadline experiment of [1], capping saved 28 percent of energy while keeping 95 percent of workload value.</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w:t>
      </w:r>
    </w:p>
    <w:p>
      <w:pPr>
        <w:widowControl w:val="0"/>
        <w:pStyle w:val="BodyText"/>
        <w:jc w:val="both"/>
      </w:pPr>
      <w:r>
        <w:rPr>
          <w:b/>
          <w:bCs/>
        </w:rPr>
        <w:t xml:space="preserve">Training and human capital (an explicit impact objective).</w:t>
      </w:r>
      <w:r>
        <w:t xml:space="preserve"> </w:t>
      </w:r>
      <w:r>
        <w:t xml:space="preserve">Israel has little research capacity at the AI-energy interface, which operators and the regulator now both need. The project builds it on three levels: a postdoctoral researcher trained across a stack no single Israeli group combines (GPU energy measurement with NVML/RAPL/BMC, ML-systems control, and energy-market analysis); the open ELF-2 dataset, twin and control engine as teaching material at HIT; and the Hebrew M8 and M21 briefings and public release that carry the methods to Ministry, Authority and Noga staff and to operators. A trained specialist, an open national dataset and a better-equipped regulator outlast the grant.</w:t>
      </w:r>
    </w:p>
    <w:p>
      <w:pPr>
        <w:widowControl w:val="0"/>
        <w:pStyle w:val="BodyText"/>
        <w:jc w:val="both"/>
      </w:pPr>
      <w:r>
        <w:rPr>
          <w:b/>
          <w:bCs/>
        </w:rPr>
        <w:t xml:space="preserve">For operators.</w:t>
      </w:r>
      <w:r>
        <w:t xml:space="preserve"> </w:t>
      </w:r>
      <w:r>
        <w:t xml:space="preserve">On installed hardware, with no new equipment, one software command delivers 29 to 31 percent lower energy per task (measured) and 18 to 45 percent lower per served job (fleet simulation).</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harness; new-generation and production-engine (vLLM) sweeps; board and node instrumentation</w:t>
            </w:r>
          </w:p>
        </w:tc>
        <w:tc>
          <w:tcPr/>
          <w:p>
            <w:pPr>
              <w:spacing w:line="317" w:lineRule="auto" w:before="20" w:after="20"/>
              <w:widowControl w:val="0"/>
              <w:pStyle w:val="Compact"/>
              <w:jc w:val="both"/>
            </w:pPr>
            <w:r>
              <w:rPr>
                <w:sz w:val="21"/>
                <w:szCs w:val="21"/>
              </w:rPr>
              <w:t xml:space="preserve">D1: ELF-2 v1</w:t>
            </w:r>
          </w:p>
        </w:tc>
        <w:tc>
          <w:tcPr/>
          <w:p>
            <w:pPr>
              <w:spacing w:line="317" w:lineRule="auto" w:before="20" w:after="20"/>
              <w:widowControl w:val="0"/>
              <w:pStyle w:val="Compact"/>
              <w:jc w:val="both"/>
            </w:pPr>
            <w:r>
              <w:rPr>
                <w:sz w:val="21"/>
                <w:szCs w:val="21"/>
              </w:rPr>
              <w:t xml:space="preserve">Law fit R² ≥ 0.95 per sweep (measured median 0.99 [1]); any platform where it fails is documented as a bounding result; JP located (or absence documented) per platform at board and node power</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regime map</w:t>
            </w:r>
          </w:p>
        </w:tc>
        <w:tc>
          <w:tcPr/>
          <w:p>
            <w:pPr>
              <w:spacing w:line="317" w:lineRule="auto" w:before="20" w:after="20"/>
              <w:widowControl w:val="0"/>
              <w:pStyle w:val="Compact"/>
              <w:jc w:val="both"/>
            </w:pPr>
            <w:r>
              <w:rPr>
                <w:sz w:val="21"/>
                <w:szCs w:val="21"/>
              </w:rPr>
              <w:t xml:space="preserve">Server-input (BMC) wall tier validated; validity domain documented, including the pre-registered JP shift (percentage points of TDP) at which the per-card constant breaks</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Job-model placement within 5 percentage points of TDP where the constant breaks; transfer-model placement within 5 percentage points of TDP on held-out cards;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joint controller under fixed, price, carbon and curtailment envelopes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control intervals) reported</w:t>
            </w:r>
          </w:p>
        </w:tc>
      </w:tr>
      <w:tr>
        <w:trPr/>
        <w:tc>
          <w:tcPr/>
          <w:p>
            <w:pPr>
              <w:spacing w:line="317" w:lineRule="auto" w:before="20" w:after="20"/>
              <w:widowControl w:val="0"/>
              <w:pStyle w:val="Compact"/>
              <w:jc w:val="both"/>
            </w:pPr>
            <w:r>
              <w:rPr>
                <w:sz w:val="21"/>
                <w:szCs w:val="21"/>
              </w:rPr>
              <w:t xml:space="preserve">M14–M20</w:t>
            </w:r>
          </w:p>
        </w:tc>
        <w:tc>
          <w:tcPr/>
          <w:p>
            <w:pPr>
              <w:spacing w:line="317" w:lineRule="auto" w:before="20" w:after="20"/>
              <w:widowControl w:val="0"/>
              <w:pStyle w:val="Compact"/>
              <w:jc w:val="both"/>
            </w:pPr>
            <w:r>
              <w:rPr>
                <w:sz w:val="21"/>
                <w:szCs w:val="21"/>
              </w:rPr>
              <w:t xml:space="preserve">WP4: flexibility products and metrics; demonstration on rented BMC-metered servers; Israel scenario</w:t>
            </w:r>
          </w:p>
        </w:tc>
        <w:tc>
          <w:tcPr/>
          <w:p>
            <w:pPr>
              <w:spacing w:line="317" w:lineRule="auto" w:before="20" w:after="20"/>
              <w:widowControl w:val="0"/>
              <w:pStyle w:val="Compact"/>
              <w:jc w:val="both"/>
            </w:pPr>
            <w:r>
              <w:rPr>
                <w:sz w:val="21"/>
                <w:szCs w:val="21"/>
              </w:rPr>
              <w:t xml:space="preserve">MS4: flexibility demonstration</w:t>
            </w:r>
          </w:p>
        </w:tc>
        <w:tc>
          <w:tcPr/>
          <w:p>
            <w:pPr>
              <w:spacing w:line="317" w:lineRule="auto" w:before="20" w:after="20"/>
              <w:widowControl w:val="0"/>
              <w:pStyle w:val="Compact"/>
              <w:jc w:val="both"/>
            </w:pPr>
            <w:r>
              <w:rPr>
                <w:sz w:val="21"/>
                <w:szCs w:val="21"/>
              </w:rP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a response time compatible with the curtailment right proposed in the Authority's hearing [19]; delivery-record compliance and service cost</w:t>
            </w:r>
          </w:p>
        </w:tc>
      </w:tr>
      <w:tr>
        <w:trPr/>
        <w:tc>
          <w:tcPr/>
          <w:p>
            <w:pPr>
              <w:spacing w:line="317" w:lineRule="auto" w:before="20" w:after="20"/>
              <w:widowControl w:val="0"/>
              <w:pStyle w:val="Compact"/>
              <w:jc w:val="both"/>
            </w:pPr>
            <w:r>
              <w:rPr>
                <w:sz w:val="21"/>
                <w:szCs w:val="21"/>
              </w:rPr>
              <w:t xml:space="preserve">M17–M21</w:t>
            </w:r>
          </w:p>
        </w:tc>
        <w:tc>
          <w:tcPr/>
          <w:p>
            <w:pPr>
              <w:spacing w:line="317" w:lineRule="auto" w:before="20" w:after="20"/>
              <w:widowControl w:val="0"/>
              <w:pStyle w:val="Compact"/>
              <w:jc w:val="both"/>
            </w:pPr>
            <w:r>
              <w:rPr>
                <w:sz w:val="21"/>
                <w:szCs w:val="21"/>
              </w:rPr>
              <w:t xml:space="preserve">WP5: incentive model; connection valuation on published Israeli data; twin evaluation</w:t>
            </w:r>
          </w:p>
        </w:tc>
        <w:tc>
          <w:tcPr/>
          <w:p>
            <w:pPr>
              <w:spacing w:line="317" w:lineRule="auto" w:before="20" w:after="20"/>
              <w:widowControl w:val="0"/>
              <w:pStyle w:val="Compact"/>
              <w:jc w:val="both"/>
            </w:pPr>
            <w:r>
              <w:rPr>
                <w:sz w:val="21"/>
                <w:szCs w:val="21"/>
              </w:rPr>
              <w:t xml:space="preserve">MS5: policy report draft</w:t>
            </w:r>
          </w:p>
        </w:tc>
        <w:tc>
          <w:tcPr/>
          <w:p>
            <w:pPr>
              <w:spacing w:line="317" w:lineRule="auto" w:before="20" w:after="20"/>
              <w:widowControl w:val="0"/>
              <w:pStyle w:val="Compact"/>
              <w:jc w:val="both"/>
            </w:pPr>
            <w:r>
              <w:rPr>
                <w:sz w:val="21"/>
                <w:szCs w:val="21"/>
              </w:rPr>
              <w:t xml:space="preserve">Alignment condition per billing structure, confirmed in the twin; option value per MW and break-even curtailment frequency, with sensitivity to every price input</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repositories with reproducing pipelines; metered validation; final scientific and policy reports</w:t>
            </w:r>
          </w:p>
        </w:tc>
      </w:tr>
    </w:tbl>
    <w:p>
      <w:pPr>
        <w:widowControl w:val="0"/>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dissemination and publication</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itemization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(continuous batching, shifting phases) blurs the per-card constant</w:t>
            </w:r>
          </w:p>
        </w:tc>
        <w:tc>
          <w:tcPr/>
          <w:p>
            <w:pPr>
              <w:spacing w:line="317" w:lineRule="auto" w:before="20" w:after="20"/>
              <w:widowControl w:val="0"/>
              <w:pStyle w:val="Compact"/>
              <w:jc w:val="both"/>
            </w:pPr>
            <w:r>
              <w:rPr>
                <w:sz w:val="21"/>
                <w:szCs w:val="21"/>
              </w:rPr>
              <w:t xml:space="preserve">Static cap loses near-optimality for LLMs</w:t>
            </w:r>
          </w:p>
        </w:tc>
        <w:tc>
          <w:tcPr/>
          <w:p>
            <w:pPr>
              <w:spacing w:line="317" w:lineRule="auto" w:before="20" w:after="20"/>
              <w:widowControl w:val="0"/>
              <w:pStyle w:val="Compact"/>
              <w:jc w:val="both"/>
            </w:pPr>
            <w:r>
              <w:rPr>
                <w:sz w:val="21"/>
                <w:szCs w:val="21"/>
              </w:rPr>
              <w:t xml:space="preserve">Measured first (WP1, M1); the job model predicts the optimum where the constant breaks</w:t>
            </w:r>
          </w:p>
        </w:tc>
      </w:tr>
      <w:tr>
        <w:trPr/>
        <w:tc>
          <w:tcPr/>
          <w:p>
            <w:pPr>
              <w:spacing w:line="317" w:lineRule="auto" w:before="20" w:after="20"/>
              <w:widowControl w:val="0"/>
              <w:pStyle w:val="Compact"/>
              <w:jc w:val="both"/>
            </w:pPr>
            <w:r>
              <w:rPr>
                <w:sz w:val="21"/>
                <w:szCs w:val="21"/>
              </w:rPr>
              <w:t xml:space="preserve">Power-cap control 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passthrough and root; too-high cap floors are exposed via the graphics clock (L4 [1]); BMC rentals cover the wall tier</w:t>
            </w:r>
          </w:p>
        </w:tc>
      </w:tr>
      <w:tr>
        <w:trPr/>
        <w:tc>
          <w:tcPr/>
          <w:p>
            <w:pPr>
              <w:spacing w:line="317" w:lineRule="auto" w:before="20" w:after="20"/>
              <w:widowControl w:val="0"/>
              <w:pStyle w:val="Compact"/>
              <w:jc w:val="both"/>
            </w:pPr>
            <w:r>
              <w:rPr>
                <w:sz w:val="21"/>
                <w:szCs w:val="21"/>
              </w:rPr>
              <w:t xml:space="preserve">Postdoc recruitment slips, or the single hire is lost mid-project</w:t>
            </w:r>
          </w:p>
        </w:tc>
        <w:tc>
          <w:tcPr/>
          <w:p>
            <w:pPr>
              <w:spacing w:line="317" w:lineRule="auto" w:before="20" w:after="20"/>
              <w:widowControl w:val="0"/>
              <w:pStyle w:val="Compact"/>
              <w:jc w:val="both"/>
            </w:pPr>
            <w:r>
              <w:rPr>
                <w:sz w:val="21"/>
                <w:szCs w:val="21"/>
              </w:rPr>
              <w:t xml:space="preserve">Schedule and delivery at risk</w:t>
            </w:r>
          </w:p>
        </w:tc>
        <w:tc>
          <w:tcPr/>
          <w:p>
            <w:pPr>
              <w:spacing w:line="317" w:lineRule="auto" w:before="20" w:after="20"/>
              <w:widowControl w:val="0"/>
              <w:pStyle w:val="Compact"/>
              <w:jc w:val="both"/>
            </w:pPr>
            <w:r>
              <w:rPr>
                <w:sz w:val="21"/>
                <w:szCs w:val="21"/>
              </w:rPr>
              <w:t xml:space="preserve">PI runs the WP1 bench directly (the ELF harness is his); the minimum-success path is one-FTE executable; recruitment via HIT and national channels with a fallback</w:t>
            </w:r>
          </w:p>
        </w:tc>
      </w:tr>
      <w:tr>
        <w:trPr/>
        <w:tc>
          <w:tcPr/>
          <w:p>
            <w:pPr>
              <w:spacing w:line="317" w:lineRule="auto" w:before="20" w:after="20"/>
              <w:widowControl w:val="0"/>
              <w:pStyle w:val="Compact"/>
              <w:jc w:val="both"/>
            </w:pPr>
            <w:r>
              <w:rPr>
                <w:sz w:val="21"/>
                <w:szCs w:val="21"/>
              </w:rPr>
              <w:t xml:space="preserve">Server-input power readout (BMC via IPMI/Redfish) blocked on a rented server</w:t>
            </w:r>
          </w:p>
        </w:tc>
        <w:tc>
          <w:tcPr/>
          <w:p>
            <w:pPr>
              <w:spacing w:line="317" w:lineRule="auto" w:before="20" w:after="20"/>
              <w:widowControl w:val="0"/>
              <w:pStyle w:val="Compact"/>
              <w:jc w:val="both"/>
            </w:pPr>
            <w:r>
              <w:rPr>
                <w:sz w:val="21"/>
                <w:szCs w:val="21"/>
              </w:rPr>
              <w:t xml:space="preserve">Wall-tier measurement narrowed</w:t>
            </w:r>
          </w:p>
        </w:tc>
        <w:tc>
          <w:tcPr/>
          <w:p>
            <w:pPr>
              <w:spacing w:line="317" w:lineRule="auto" w:before="20" w:after="20"/>
              <w:widowControl w:val="0"/>
              <w:pStyle w:val="Compact"/>
              <w:jc w:val="both"/>
            </w:pPr>
            <w:r>
              <w:rPr>
                <w:sz w:val="21"/>
                <w:szCs w:val="21"/>
              </w:rPr>
              <w:t xml:space="preserve">Named BMC-capable bare-metal vendors with dated quotes (GPU Mart and equivalents); fallback to an in-line metered PDU at the wall</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widowControl w:val="0"/>
        <w:pStyle w:val="BodyText"/>
        <w:jc w:val="both"/>
      </w:pPr>
      <w:r>
        <w:rPr>
          <w:b/>
          <w:bCs/>
        </w:rPr>
        <w:t xml:space="preserve">Fit of expertise to the proposed work.</w:t>
      </w:r>
      <w:r>
        <w:t xml:space="preserve"> </w:t>
      </w:r>
      <w:r>
        <w:t xml:space="preserve">The project builds on the PI's own research: study [1] produced the ELF dataset, the power law and the Joule Point, and its harness, models and simulator are working code that WP1–WP3 extend. The PI's background fits the wider plan on both sides: an academic thread in energy-efficient AI, spanning energy-efficient remote-sensing measurement [24] and the recent CalexNet study of efficient inference in deep models [25]; and an industry thread in cost-aware AI systems and capacity-and-cost engineering, including system-sizing at Amdocs that contributed about $10M in savings. That mix of measurement-driven machine-learning research and cost-and-systems engineering is the expertise the work plan calls for.</w:t>
      </w:r>
    </w:p>
    <w:p>
      <w:pPr>
        <w:widowControl w:val="0"/>
        <w:pStyle w:val="BodyText"/>
        <w:jc w:val="both"/>
      </w:pPr>
      <w:r>
        <w:rPr>
          <w:b/>
          <w:bCs/>
        </w:rPr>
        <w:t xml:space="preserve">Research personnel.</w:t>
      </w:r>
      <w:r>
        <w:t xml:space="preserve"> </w:t>
      </w:r>
      <w: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widowControl w:val="0"/>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b70b95b8b38ded80618834689cadeac3dd55d32"/>
    <w:p>
      <w:pPr>
        <w:keepLines w:val="0"/>
        <w:keepNext w:val="0"/>
        <w:widowControl w:val="0"/>
        <w:pStyle w:val="Heading2"/>
        <w:pBdr>
          <w:bottom w:val="single" w:sz="6" w:space="2" w:color="C8C8C8"/>
        </w:pBdr>
        <w:jc w:val="left"/>
      </w:pPr>
      <w:r>
        <w:rPr>
          <w:color w:val="111111"/>
        </w:rPr>
        <w:t xml:space="preserve">Table A1. The five deliverables: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new or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2026-09-23T16:13:10Z</dcterms:created>
  <dcterms:modified xsi:type="dcterms:W3CDTF">2026-09-23T16:13:10Z</dcterms:modified>
</cp:coreProperties>
</file>

<file path=docProps/custom.xml><?xml version="1.0" encoding="utf-8"?>
<Properties xmlns="http://schemas.openxmlformats.org/officeDocument/2006/custom-properties" xmlns:vt="http://schemas.openxmlformats.org/officeDocument/2006/docPropsVTypes"/>
</file>