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pStyle w:val="Heading2"/>
        <w:pBdr>
          <w:bottom w:val="single" w:sz="6" w:space="2" w:color="C8C8C8"/>
        </w:pBdr>
        <w:jc w:val="left"/>
      </w:pPr>
      <w:r>
        <w:rPr>
          <w:color w:val="111111"/>
        </w:rP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jc w:val="left"/>
      </w:pPr>
      <w:r>
        <w:rPr>
          <w:color w:val="111111"/>
        </w:rP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pStyle w:val="Heading2"/>
        <w:pBdr>
          <w:bottom w:val="single" w:sz="6" w:space="2" w:color="C8C8C8"/>
        </w:pBdr>
        <w:jc w:val="left"/>
      </w:pPr>
      <w:r>
        <w:rPr>
          <w:color w:val="111111"/>
        </w:rPr>
        <w:t xml:space="preserve">2.5.2 Abstract / תקציר</w:t>
      </w:r>
    </w:p>
    <w:bookmarkStart w:id="22" w:name="english-299300-words"/>
    <w:p>
      <w:pPr>
        <w:pStyle w:val="Heading3"/>
        <w:jc w:val="left"/>
      </w:pPr>
      <w:r>
        <w:rPr>
          <w:color w:val="111111"/>
        </w:rPr>
        <w:t xml:space="preserve">English (299/300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22"/>
    <w:bookmarkStart w:id="23" w:name="עברית-300300-מילים"/>
    <w:p>
      <w:pPr>
        <w:pStyle w:val="Heading3"/>
        <w:bidi/>
        <w:jc w:val="right"/>
      </w:pPr>
      <w:r>
        <w:rPr>
          <w:color w:val="111111"/>
          <w:rtl/>
        </w:rPr>
        <w:t xml:space="preserve">עברית (300/300 מילים)</w:t>
      </w:r>
    </w:p>
    <w:p>
      <w:pPr>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23"/>
    <w:bookmarkEnd w:id="24"/>
    <w:bookmarkStart w:id="25" w:name="glossary"/>
    <w:p>
      <w:pPr>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Bdr>
          <w:bottom w:val="single" w:sz="6" w:space="2" w:color="C8C8C8"/>
        </w:pBdr>
        <w:jc w:val="left"/>
      </w:pPr>
      <w:r>
        <w:rPr>
          <w:color w:val="111111"/>
        </w:rPr>
        <w:t xml:space="preserve">2.5.4 Objectives of the program</w:t>
      </w:r>
    </w:p>
    <w:bookmarkStart w:id="26" w:name="the-objective"/>
    <w:p>
      <w:pPr>
        <w:pStyle w:val="Heading3"/>
        <w:jc w:val="left"/>
      </w:pPr>
      <w:r>
        <w:rPr>
          <w:color w:val="111111"/>
        </w:rPr>
        <w:t xml:space="preserve">2.5.4.1 The objective</w:t>
      </w:r>
    </w:p>
    <w:p>
      <w:pPr>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jc w:val="left"/>
      </w:pPr>
      <w:r>
        <w:rPr>
          <w:color w:val="111111"/>
        </w:rPr>
        <w:t xml:space="preserve">2.5.4.2 The research question</w:t>
      </w:r>
    </w:p>
    <w:p>
      <w:pPr>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27"/>
    <w:bookmarkEnd w:id="28"/>
    <w:bookmarkStart w:id="37" w:name="the-proposed-research"/>
    <w:p>
      <w:pPr>
        <w:pStyle w:val="Heading2"/>
        <w:pBdr>
          <w:bottom w:val="single" w:sz="6" w:space="2" w:color="C8C8C8"/>
        </w:pBdr>
        <w:jc w:val="left"/>
      </w:pPr>
      <w:r>
        <w:rPr>
          <w:color w:val="111111"/>
        </w:rPr>
        <w:t xml:space="preserve">2.5.5 The proposed research</w:t>
      </w:r>
    </w:p>
    <w:bookmarkStart w:id="29" w:name="scientific-and-technological-background"/>
    <w:p>
      <w:pPr>
        <w:pStyle w:val="Heading3"/>
        <w:jc w:val="left"/>
      </w:pPr>
      <w:r>
        <w:rPr>
          <w:color w:val="111111"/>
        </w:rPr>
        <w:t xml:space="preserve">2.5.5.1 Scientific and technological background</w:t>
      </w:r>
    </w:p>
    <w:p>
      <w:pPr>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the measurements show the second is more efficient when power, not capital, binds.</w:t>
      </w:r>
    </w:p>
    <w:p>
      <w:pPr>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jc w:val="left"/>
      </w:pPr>
      <w:r>
        <w:rPr>
          <w:color w:val="111111"/>
        </w:rP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30"/>
    <w:bookmarkStart w:id="31" w:name="knowledge-gaps"/>
    <w:p>
      <w:pPr>
        <w:pStyle w:val="Heading3"/>
        <w:jc w:val="left"/>
      </w:pPr>
      <w:r>
        <w:rPr>
          <w:color w:val="111111"/>
        </w:rP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jc w:val="left"/>
      </w:pPr>
      <w:r>
        <w:rPr>
          <w:color w:val="111111"/>
        </w:rPr>
        <w:t xml:space="preserve">2.5.5.4 Description of the proposed research</w:t>
      </w:r>
    </w:p>
    <w:p>
      <w:pPr>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32"/>
    <w:bookmarkStart w:id="33" w:name="methods-work-packages"/>
    <w:p>
      <w:pPr>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jc w:val="left"/>
      </w:pPr>
      <w:r>
        <w:rPr>
          <w:color w:val="111111"/>
        </w:rP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the measured cost of universal full-power operation is about 30 percent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so the project extends an existing asset rather than first building one.</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34"/>
    <w:bookmarkStart w:id="35" w:name="fit-to-the-ministrys-rd-goals"/>
    <w:p>
      <w:pPr>
        <w:pStyle w:val="Heading3"/>
        <w:jc w:val="left"/>
      </w:pPr>
      <w:r>
        <w:rPr>
          <w:color w:val="111111"/>
        </w:rPr>
        <w:t xml:space="preserve">2.5.5.7 Fit to the Ministry’s R&amp;D goals</w:t>
      </w:r>
    </w:p>
    <w:p>
      <w:pPr>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Energy efficiency of a new industrial load class (8.1, 8.3): 29–31 percent less energy per task at the card [1] and 18–45 percent per served job at the fleet (simulation),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 (סעיפים 1-15)</w:t>
            </w:r>
            <w:r>
              <w:rPr>
                <w:rtl/>
              </w:rPr>
              <w:t xml:space="preserve"> </w:t>
            </w:r>
            <w:r>
              <w:rPr>
                <w:rtl/>
              </w:rPr>
              <w:t xml:space="preserve">(2026 priority)</w:t>
            </w:r>
          </w:p>
        </w:tc>
        <w:tc>
          <w:tcPr/>
          <w:p>
            <w:pPr>
              <w:pStyle w:val="Compact"/>
              <w:jc w:val="both"/>
            </w:pPr>
            <w: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c>
          <w:tcPr/>
          <w:p>
            <w:pPr>
              <w:pStyle w:val="Compact"/>
              <w:bidi/>
              <w:jc w:val="both"/>
            </w:pPr>
            <w:r>
              <w:rPr>
                <w:b/>
                <w:bCs/>
                <w:rtl/>
              </w:rPr>
              <w:t xml:space="preserve">6.2 / 6.3</w:t>
            </w:r>
            <w:r>
              <w:rPr>
                <w:rtl/>
              </w:rPr>
              <w:t xml:space="preserve"> </w:t>
            </w:r>
            <w:r>
              <w:rPr>
                <w:rtl/>
              </w:rPr>
              <w:t xml:space="preserve">· ניהול אנרגיה מקומי וניהול ביקושים · בקרה וניהול רשת בחדירת מתחדשות גבוהה</w:t>
            </w:r>
            <w:r>
              <w:rPr>
                <w:rtl/>
              </w:rPr>
              <w:t xml:space="preserve"> </w:t>
            </w:r>
            <w:r>
              <w:rPr>
                <w:rtl/>
              </w:rPr>
              <w:t xml:space="preserve">(6.3: 2026 priority)</w:t>
            </w:r>
          </w:p>
        </w:tc>
        <w:tc>
          <w:tcPr/>
          <w:p>
            <w:pPr>
              <w:pStyle w:val="Compact"/>
              <w:jc w:val="both"/>
            </w:pPr>
            <w: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c>
          <w:tcPr/>
          <w:p>
            <w:pPr>
              <w:pStyle w:val="Compact"/>
              <w:bidi/>
              <w:jc w:val="both"/>
            </w:pPr>
            <w:r>
              <w:rPr>
                <w:b/>
                <w:bCs/>
                <w:rtl/>
              </w:rPr>
              <w:t xml:space="preserve">15.1 / 15.3</w:t>
            </w:r>
            <w:r>
              <w:rPr>
                <w:rtl/>
              </w:rPr>
              <w:t xml:space="preserve"> </w:t>
            </w:r>
            <w:r>
              <w:rPr>
                <w:rtl/>
              </w:rPr>
              <w:t xml:space="preserve">· כלי מדיניות לייעול השימוש באנרגיה · מתודולוגיה וכלי עזר בקבלת החלטות</w:t>
            </w:r>
          </w:p>
        </w:tc>
        <w:tc>
          <w:tcPr/>
          <w:p>
            <w:pPr>
              <w:pStyle w:val="Compact"/>
              <w:jc w:val="both"/>
            </w:pPr>
            <w: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pStyle w:val="Heading3"/>
        <w:jc w:val="left"/>
      </w:pPr>
      <w:r>
        <w:rPr>
          <w:color w:val="111111"/>
        </w:rP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two orders of magnitude inside any demand-response ramp window.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Bdr>
          <w:bottom w:val="single" w:sz="6" w:space="2" w:color="C8C8C8"/>
        </w:pBdr>
        <w:jc w:val="left"/>
      </w:pPr>
      <w:r>
        <w:rPr>
          <w:color w:val="111111"/>
        </w:rPr>
        <w:t xml:space="preserve">2.5.6 Application: expected benefit and impact</w:t>
      </w:r>
    </w:p>
    <w:bookmarkStart w:id="38" w:name="what-the-project-delivers-concretely"/>
    <w:p>
      <w:pPr>
        <w:pStyle w:val="Heading3"/>
        <w:jc w:val="left"/>
      </w:pPr>
      <w:r>
        <w:rPr>
          <w:color w:val="111111"/>
        </w:rP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jc w:val="left"/>
      </w:pPr>
      <w:r>
        <w:rPr>
          <w:color w:val="111111"/>
        </w:rP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The project builds that capacity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39"/>
    <w:bookmarkEnd w:id="40"/>
    <w:bookmarkStart w:id="44" w:name="work-plan"/>
    <w:p>
      <w:pPr>
        <w:pStyle w:val="Heading2"/>
        <w:pBdr>
          <w:bottom w:val="single" w:sz="6" w:space="2" w:color="C8C8C8"/>
        </w:pBdr>
        <w:jc w:val="left"/>
      </w:pPr>
      <w:r>
        <w:rPr>
          <w:color w:val="111111"/>
        </w:rPr>
        <w:t xml:space="preserve">2.5.7 Work plan</w:t>
      </w:r>
    </w:p>
    <w:bookmarkStart w:id="41" w:name="X667c3ec6dfb794f21fdd4a234ae848af0d17922"/>
    <w:p>
      <w:pPr>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(measured median 0.99 [1]); any platform where it fails is documented as a bounding result;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c>
          <w:tcPr/>
          <w:p>
            <w:pPr>
              <w:pStyle w:val="Compact"/>
              <w:jc w:val="both"/>
            </w:pPr>
            <w:r>
              <w:t xml:space="preserve">M17–M21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41"/>
    <w:bookmarkStart w:id="42" w:name="budget-by-stage"/>
    <w:p>
      <w:pPr>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jc w:val="both"/>
            </w:pPr>
            <w:r>
              <w:t xml:space="preserve">Full itemization in the מפרט תקציבי</w:t>
            </w:r>
          </w:p>
        </w:tc>
      </w:tr>
    </w:tbl>
    <w:bookmarkEnd w:id="42"/>
    <w:bookmarkStart w:id="43" w:name="risks-and-mitigation"/>
    <w:p>
      <w:pPr>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Server-input power readout (BMC via 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Bdr>
          <w:bottom w:val="single" w:sz="6" w:space="2" w:color="C8C8C8"/>
        </w:pBdr>
        <w:jc w:val="left"/>
      </w:pPr>
      <w:r>
        <w:rPr>
          <w:color w:val="111111"/>
        </w:rP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pStyle w:val="BodyText"/>
        <w:jc w:val="both"/>
      </w:pPr>
      <w:r>
        <w:rPr>
          <w:b/>
          <w:bCs/>
        </w:rPr>
        <w:t xml:space="preserve">Research personnel.</w:t>
      </w:r>
      <w:r>
        <w:t xml:space="preserve"> </w:t>
      </w:r>
      <w: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45"/>
    <w:bookmarkStart w:id="46" w:name="funding"/>
    <w:p>
      <w:pPr>
        <w:pStyle w:val="Heading2"/>
        <w:pBdr>
          <w:bottom w:val="single" w:sz="6" w:space="2" w:color="C8C8C8"/>
        </w:pBdr>
        <w:jc w:val="left"/>
      </w:pPr>
      <w:r>
        <w:rPr>
          <w:color w:val="111111"/>
        </w:rPr>
        <w:t xml:space="preserve">2.5.9 Funding</w:t>
      </w:r>
    </w:p>
    <w:p>
      <w:pPr>
        <w:pStyle w:val="FirstParagraph"/>
        <w:jc w:val="both"/>
      </w:pPr>
      <w:r>
        <w:t xml:space="preserve">No other, complementary, or parallel student funding is taken or sought (נספח טז' §1.5.2, §2.10).</w:t>
      </w:r>
    </w:p>
    <w:bookmarkEnd w:id="46"/>
    <w:bookmarkStart w:id="52" w:name="bibliography"/>
    <w:p>
      <w:pPr>
        <w:pStyle w:val="Heading2"/>
        <w:pBdr>
          <w:bottom w:val="single" w:sz="6" w:space="2" w:color="C8C8C8"/>
        </w:pBdr>
        <w:jc w:val="left"/>
      </w:pPr>
      <w:r>
        <w:rPr>
          <w:color w:val="111111"/>
        </w:rP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pStyle w:val="Heading2"/>
        <w:pBdr>
          <w:bottom w:val="single" w:sz="6" w:space="2" w:color="C8C8C8"/>
        </w:pBdr>
        <w:jc w:val="left"/>
      </w:pPr>
      <w:r>
        <w:rPr>
          <w:color w:val="111111"/>
        </w:rPr>
        <w:t xml:space="preserve">Appendix A: Figures (within the 5-page allowance of נספח א'1 §2.2)</w:t>
      </w:r>
    </w:p>
    <w:p>
      <w:pPr>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pStyle w:val="Heading2"/>
        <w:pBdr>
          <w:bottom w:val="single" w:sz="6" w:space="2" w:color="C8C8C8"/>
        </w:pBdr>
        <w:jc w:val="left"/>
      </w:pPr>
      <w:r>
        <w:rPr>
          <w:color w:val="111111"/>
        </w:rPr>
        <w:t xml:space="preserve">Table A1. The five deliverables: what each is, who uses it</w:t>
      </w:r>
    </w:p>
    <w:p>
      <w:pPr>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Deliverable</w:t>
            </w:r>
          </w:p>
        </w:tc>
        <w:tc>
          <w:tcPr/>
          <w:p>
            <w:pPr>
              <w:pStyle w:val="Compact"/>
              <w:jc w:val="both"/>
            </w:pPr>
            <w:r>
              <w:t xml:space="preserve">What it is</w:t>
            </w:r>
          </w:p>
        </w:tc>
        <w:tc>
          <w:tcPr/>
          <w:p>
            <w:pPr>
              <w:pStyle w:val="Compact"/>
              <w:jc w:val="both"/>
            </w:pPr>
            <w:r>
              <w:t xml:space="preserve">Who uses it, for what</w:t>
            </w:r>
          </w:p>
        </w:tc>
      </w:tr>
      <w:tr>
        <w:tc>
          <w:tcPr/>
          <w:p>
            <w:pPr>
              <w:pStyle w:val="Compact"/>
              <w:jc w:val="both"/>
            </w:pPr>
            <w:r>
              <w:rPr>
                <w:b/>
                <w:bCs/>
              </w:rPr>
              <w:t xml:space="preserve">ELF-2</w:t>
            </w:r>
          </w:p>
        </w:tc>
        <w:tc>
          <w:tcPr/>
          <w:p>
            <w:pPr>
              <w:pStyle w:val="Compact"/>
              <w:jc w:val="both"/>
            </w:pPr>
            <w:r>
              <w:t xml:space="preserve">An open dataset: power, throughput and latency at every operating point, board to wall, on current GPUs and production serving software</w:t>
            </w:r>
          </w:p>
        </w:tc>
        <w:tc>
          <w:tcPr/>
          <w:p>
            <w:pPr>
              <w:pStyle w:val="Compact"/>
              <w:jc w:val="both"/>
            </w:pPr>
            <w:r>
              <w:t xml:space="preserve">Researchers and vendors, as ground truth; every other deliverable is built and validated on it</w:t>
            </w:r>
          </w:p>
        </w:tc>
      </w:tr>
      <w:tr>
        <w:tc>
          <w:tcPr/>
          <w:p>
            <w:pPr>
              <w:pStyle w:val="Compact"/>
              <w:jc w:val="both"/>
            </w:pPr>
            <w:r>
              <w:rPr>
                <w:b/>
                <w:bCs/>
              </w:rPr>
              <w:t xml:space="preserve">The characterization kit</w:t>
            </w:r>
          </w:p>
        </w:tc>
        <w:tc>
          <w:tcPr/>
          <w:p>
            <w:pPr>
              <w:pStyle w:val="Compact"/>
              <w:jc w:val="both"/>
            </w:pPr>
            <w:r>
              <w:t xml:space="preserve">Software plus protocol: a one-test procedure and the two fitted models placing the JP of a new or unmeasured card within the validated hardware domain, in hours</w:t>
            </w:r>
          </w:p>
        </w:tc>
        <w:tc>
          <w:tcPr/>
          <w:p>
            <w:pPr>
              <w:pStyle w:val="Compact"/>
              <w:jc w:val="both"/>
            </w:pPr>
            <w:r>
              <w:t xml:space="preserve">A GPU engineer or operator qualifying a new card model or a new serving stack before deployment, at known cost</w:t>
            </w:r>
          </w:p>
        </w:tc>
      </w:tr>
      <w:tr>
        <w:tc>
          <w:tcPr/>
          <w:p>
            <w:pPr>
              <w:pStyle w:val="Compact"/>
              <w:jc w:val="both"/>
            </w:pPr>
            <w:r>
              <w:rPr>
                <w:b/>
                <w:bCs/>
              </w:rPr>
              <w:t xml:space="preserve">The control engine</w:t>
            </w:r>
          </w:p>
        </w:tc>
        <w:tc>
          <w:tcPr/>
          <w:p>
            <w:pPr>
              <w:pStyle w:val="Compact"/>
              <w:jc w:val="both"/>
            </w:pPr>
            <w:r>
              <w:t xml:space="preserve">An open-source control engine that assigns jobs and sets caps to keep a fleet inside its envelope, evaluated in the twin and demonstrated on a metered rented server before any deployment</w:t>
            </w:r>
          </w:p>
        </w:tc>
        <w:tc>
          <w:tcPr/>
          <w:p>
            <w:pPr>
              <w:pStyle w:val="Compact"/>
              <w:jc w:val="both"/>
            </w:pPr>
            <w:r>
              <w:t xml:space="preserve">An AI data-center manager, to cut energy per job and honor a committed envelope; its report doubles as the compliance record</w:t>
            </w:r>
          </w:p>
        </w:tc>
      </w:tr>
      <w:tr>
        <w:tc>
          <w:tcPr/>
          <w:p>
            <w:pPr>
              <w:pStyle w:val="Compact"/>
              <w:jc w:val="both"/>
            </w:pPr>
            <w:r>
              <w:rPr>
                <w:b/>
                <w:bCs/>
              </w:rPr>
              <w:t xml:space="preserve">The digital twin</w:t>
            </w:r>
          </w:p>
        </w:tc>
        <w:tc>
          <w:tcPr/>
          <w:p>
            <w:pPr>
              <w:pStyle w:val="Compact"/>
              <w:jc w:val="both"/>
            </w:pPr>
            <w:r>
              <w:t xml:space="preserve">A simulator replaying the measured curves of a described fleet and job mix, evaluating any policy or envelope scenario exactly before hardware is touched</w:t>
            </w:r>
          </w:p>
        </w:tc>
        <w:tc>
          <w:tcPr/>
          <w:p>
            <w:pPr>
              <w:pStyle w:val="Compact"/>
              <w:jc w:val="both"/>
            </w:pPr>
            <w:r>
              <w:t xml:space="preserve">An operator testing policies before deployment; a planner or regulator asking what a proposed facility could deliver and shed under a given connection</w:t>
            </w:r>
          </w:p>
        </w:tc>
      </w:tr>
      <w:tr>
        <w:tc>
          <w:tcPr/>
          <w:p>
            <w:pPr>
              <w:pStyle w:val="Compact"/>
              <w:jc w:val="both"/>
            </w:pPr>
            <w:r>
              <w:rPr>
                <w:b/>
                <w:bCs/>
              </w:rPr>
              <w:t xml:space="preserve">The grid interface and policy report</w:t>
            </w:r>
          </w:p>
        </w:tc>
        <w:tc>
          <w:tcPr/>
          <w:p>
            <w:pPr>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both"/>
            </w:pPr>
            <w:r>
              <w:t xml:space="preserve">The Electricity Authority and Noga, as the technical basis for offering conditional connections and auditing compliance</w:t>
            </w:r>
          </w:p>
        </w:tc>
      </w:tr>
    </w:tbl>
    <w:p>
      <w:pPr>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2026-09-23T15:24:23Z</dcterms:created>
  <dcterms:modified xsi:type="dcterms:W3CDTF">2026-09-23T15:24:23Z</dcterms:modified>
</cp:coreProperties>
</file>

<file path=docProps/custom.xml><?xml version="1.0" encoding="utf-8"?>
<Properties xmlns="http://schemas.openxmlformats.org/officeDocument/2006/custom-properties" xmlns:vt="http://schemas.openxmlformats.org/officeDocument/2006/docPropsVTypes"/>
</file>