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pPr>
      <w:hyperlink r:id="rId20">
        <w:r>
          <w:rPr>
            <w:rStyle w:val="Hyperlink"/>
          </w:rPr>
          <w:t xml:space="preserve">📄 Proposal PDF</w:t>
        </w:r>
      </w:hyperlink>
      <w:r>
        <w:t xml:space="preserve"> </w:t>
      </w:r>
      <w:hyperlink r:id="rId21">
        <w:r>
          <w:rPr>
            <w:rStyle w:val="Hyperlink"/>
          </w:rPr>
          <w:t xml:space="preserve">📝 Proposal Word</w:t>
        </w:r>
      </w:hyperlink>
      <w:r>
        <w:t xml:space="preserve"> </w:t>
      </w:r>
      <w:hyperlink r:id="rId22">
        <w:r>
          <w:rPr>
            <w:rStyle w:val="Hyperlink"/>
          </w:rPr>
          <w:t xml:space="preserve">📋 CV</w:t>
        </w:r>
      </w:hyperlink>
      <w:r>
        <w:t xml:space="preserve"> </w:t>
      </w:r>
      <w:hyperlink r:id="rId23">
        <w:r>
          <w:rPr>
            <w:rStyle w:val="Hyperlink"/>
          </w:rPr>
          <w:t xml:space="preserve">📄 CV PDF</w:t>
        </w:r>
      </w:hyperlink>
      <w:r>
        <w:t xml:space="preserve"> </w:t>
      </w:r>
      <w:hyperlink r:id="rId24">
        <w:r>
          <w:rPr>
            <w:rStyle w:val="Hyperlink"/>
          </w:rPr>
          <w:t xml:space="preserve">📝 Form guide</w:t>
        </w:r>
      </w:hyperlink>
      <w:r>
        <w:t xml:space="preserve"> </w:t>
      </w:r>
      <w:hyperlink r:id="rId25">
        <w:r>
          <w:rPr>
            <w:rStyle w:val="Hyperlink"/>
          </w:rPr>
          <w:t xml:space="preserve">📄 Guide PDF</w:t>
        </w:r>
      </w:hyperlink>
      <w:r>
        <w:t xml:space="preserve"> </w:t>
      </w:r>
      <w:hyperlink r:id="rId26">
        <w:r>
          <w:rPr>
            <w:rStyle w:val="Hyperlink"/>
          </w:rPr>
          <w:t xml:space="preserve">💰 Budget</w:t>
        </w:r>
      </w:hyperlink>
      <w:r>
        <w:t xml:space="preserve"> </w:t>
      </w:r>
      <w:hyperlink r:id="rId27">
        <w:r>
          <w:rPr>
            <w:rStyle w:val="Hyperlink"/>
          </w:rPr>
          <w:t xml:space="preserve">📊 Budget XLSX</w:t>
        </w:r>
      </w:hyperlink>
      <w:r>
        <w:t xml:space="preserve"> </w:t>
      </w:r>
      <w:hyperlink r:id="rId28">
        <w:r>
          <w:rPr>
            <w:rStyle w:val="Hyperlink"/>
          </w:rPr>
          <w:t xml:space="preserve">💲 Price quotes</w:t>
        </w:r>
      </w:hyperlink>
      <w:r>
        <w:t xml:space="preserve"> </w:t>
      </w:r>
      <w:hyperlink r:id="rId29">
        <w:r>
          <w:rPr>
            <w:rStyle w:val="Hyperlink"/>
          </w:rPr>
          <w:t xml:space="preserve">🔬 Joule Point paper</w:t>
        </w:r>
      </w:hyperlink>
    </w:p>
    <w:bookmarkStart w:id="3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30"/>
    <w:bookmarkStart w:id="3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31"/>
    <w:bookmarkStart w:id="34" w:name="abstract-תקציר"/>
    <w:p>
      <w:pPr>
        <w:pStyle w:val="Heading2"/>
        <w:pBdr>
          <w:bottom w:val="single" w:sz="6" w:space="2" w:color="C8C8C8"/>
        </w:pBdr>
        <w:bidi/>
        <w:jc w:val="right"/>
      </w:pPr>
      <w:r>
        <w:rPr>
          <w:rtl/>
        </w:rPr>
        <w:t xml:space="preserve">2.5.2 Abstract / תקציר</w:t>
      </w:r>
    </w:p>
    <w:bookmarkStart w:id="32" w:name="english-299300-words"/>
    <w:p>
      <w:pPr>
        <w:pStyle w:val="Heading3"/>
      </w:pPr>
      <w:r>
        <w:t xml:space="preserve">English (299/300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32"/>
    <w:bookmarkStart w:id="3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33"/>
    <w:bookmarkEnd w:id="34"/>
    <w:bookmarkStart w:id="3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35"/>
    <w:bookmarkStart w:id="38" w:name="objectives-of-the-program"/>
    <w:p>
      <w:pPr>
        <w:pStyle w:val="Heading2"/>
        <w:pBdr>
          <w:bottom w:val="single" w:sz="6" w:space="2" w:color="C8C8C8"/>
        </w:pBdr>
      </w:pPr>
      <w:r>
        <w:t xml:space="preserve">2.5.4 Objectives of the program</w:t>
      </w:r>
    </w:p>
    <w:bookmarkStart w:id="36" w:name="the-objective"/>
    <w:p>
      <w:pPr>
        <w:pStyle w:val="Heading3"/>
      </w:pPr>
      <w:r>
        <w:t xml:space="preserve">2.5.4.1 The objective</w:t>
      </w:r>
    </w:p>
    <w:p>
      <w:pPr>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36"/>
    <w:bookmarkStart w:id="37" w:name="the-research-question"/>
    <w:p>
      <w:pPr>
        <w:pStyle w:val="Heading3"/>
      </w:pPr>
      <w:r>
        <w:t xml:space="preserve">2.5.4.2 The research question</w:t>
      </w:r>
    </w:p>
    <w:p>
      <w:pPr>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37"/>
    <w:bookmarkEnd w:id="38"/>
    <w:bookmarkStart w:id="47" w:name="the-proposed-research"/>
    <w:p>
      <w:pPr>
        <w:pStyle w:val="Heading2"/>
        <w:pBdr>
          <w:bottom w:val="single" w:sz="6" w:space="2" w:color="C8C8C8"/>
        </w:pBdr>
      </w:pPr>
      <w:r>
        <w:t xml:space="preserve">2.5.5 The proposed research</w:t>
      </w:r>
    </w:p>
    <w:bookmarkStart w:id="3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the measurements show the second is more efficient when power, not capital, binds.</w:t>
      </w:r>
    </w:p>
    <w:p>
      <w:pPr>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39"/>
    <w:bookmarkStart w:id="4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40"/>
    <w:bookmarkStart w:id="4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41"/>
    <w:bookmarkStart w:id="42" w:name="description-of-the-proposed-research"/>
    <w:p>
      <w:pPr>
        <w:pStyle w:val="Heading3"/>
      </w:pPr>
      <w:r>
        <w:t xml:space="preserve">2.5.5.4 Description of the proposed research</w:t>
      </w:r>
    </w:p>
    <w:p>
      <w:pPr>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42"/>
    <w:bookmarkStart w:id="4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43"/>
    <w:bookmarkStart w:id="4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the measured cost of universal full-power operation is about 30 percent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so the project extends an existing asset rather than first building one.</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44"/>
    <w:bookmarkStart w:id="45" w:name="fit-to-the-ministrys-rd-goals"/>
    <w:p>
      <w:pPr>
        <w:pStyle w:val="Heading3"/>
      </w:pPr>
      <w:r>
        <w:t xml:space="preserve">2.5.5.7 Fit to the Ministry’s R&amp;D goals</w:t>
      </w:r>
    </w:p>
    <w:p>
      <w:pPr>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Energy efficiency of a new industrial load class (8.1, 8.3): 29–31 percent less energy per task at the card [1] and 18–45 percent per served job at the fleet (simulation),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 (סעיפים 1-15)</w:t>
            </w:r>
            <w:r>
              <w:rPr>
                <w:rtl/>
              </w:rPr>
              <w:t xml:space="preserve"> </w:t>
            </w:r>
            <w:r>
              <w:rPr>
                <w:rtl/>
              </w:rPr>
              <w:t xml:space="preserve">(2026 priority)</w:t>
            </w:r>
          </w:p>
        </w:tc>
        <w:tc>
          <w:tcPr/>
          <w:p>
            <w:pPr>
              <w:pStyle w:val="Compact"/>
              <w:jc w:val="both"/>
            </w:pPr>
            <w: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c>
          <w:tcPr/>
          <w:p>
            <w:pPr>
              <w:pStyle w:val="Compact"/>
              <w:bidi/>
              <w:jc w:val="both"/>
            </w:pPr>
            <w:r>
              <w:rPr>
                <w:b/>
                <w:bCs/>
                <w:rtl/>
              </w:rPr>
              <w:t xml:space="preserve">6.2 / 6.3</w:t>
            </w:r>
            <w:r>
              <w:rPr>
                <w:rtl/>
              </w:rPr>
              <w:t xml:space="preserve"> </w:t>
            </w:r>
            <w:r>
              <w:rPr>
                <w:rtl/>
              </w:rPr>
              <w:t xml:space="preserve">· ניהול אנרגיה מקומי וניהול ביקושים · בקרה וניהול רשת בחדירת מתחדשות גבוהה</w:t>
            </w:r>
            <w:r>
              <w:rPr>
                <w:rtl/>
              </w:rPr>
              <w:t xml:space="preserve"> </w:t>
            </w:r>
            <w:r>
              <w:rPr>
                <w:rtl/>
              </w:rPr>
              <w:t xml:space="preserve">(6.3: 2026 priority)</w:t>
            </w:r>
          </w:p>
        </w:tc>
        <w:tc>
          <w:tcPr/>
          <w:p>
            <w:pPr>
              <w:pStyle w:val="Compact"/>
              <w:jc w:val="both"/>
            </w:pPr>
            <w: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c>
          <w:tcPr/>
          <w:p>
            <w:pPr>
              <w:pStyle w:val="Compact"/>
              <w:bidi/>
              <w:jc w:val="both"/>
            </w:pPr>
            <w:r>
              <w:rPr>
                <w:b/>
                <w:bCs/>
                <w:rtl/>
              </w:rPr>
              <w:t xml:space="preserve">15.1 / 15.3</w:t>
            </w:r>
            <w:r>
              <w:rPr>
                <w:rtl/>
              </w:rPr>
              <w:t xml:space="preserve"> </w:t>
            </w:r>
            <w:r>
              <w:rPr>
                <w:rtl/>
              </w:rPr>
              <w:t xml:space="preserve">· כלי מדיניות לייעול השימוש באנרגיה · מתודולוגיה וכלי עזר בקבלת החלטות</w:t>
            </w:r>
          </w:p>
        </w:tc>
        <w:tc>
          <w:tcPr/>
          <w:p>
            <w:pPr>
              <w:pStyle w:val="Compact"/>
              <w:jc w:val="both"/>
            </w:pPr>
            <w: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45"/>
    <w:bookmarkStart w:id="4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two orders of magnitude inside any demand-response ramp window.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46"/>
    <w:bookmarkEnd w:id="47"/>
    <w:bookmarkStart w:id="50" w:name="application-expected-benefit-and-impact"/>
    <w:p>
      <w:pPr>
        <w:pStyle w:val="Heading2"/>
        <w:pBdr>
          <w:bottom w:val="single" w:sz="6" w:space="2" w:color="C8C8C8"/>
        </w:pBdr>
      </w:pPr>
      <w:r>
        <w:t xml:space="preserve">2.5.6 Application: expected benefit and impact</w:t>
      </w:r>
    </w:p>
    <w:bookmarkStart w:id="4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48"/>
    <w:bookmarkStart w:id="4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The project builds that capacity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49"/>
    <w:bookmarkEnd w:id="50"/>
    <w:bookmarkStart w:id="54" w:name="work-plan"/>
    <w:p>
      <w:pPr>
        <w:pStyle w:val="Heading2"/>
        <w:pBdr>
          <w:bottom w:val="single" w:sz="6" w:space="2" w:color="C8C8C8"/>
        </w:pBdr>
      </w:pPr>
      <w:r>
        <w:t xml:space="preserve">2.5.7 Work plan</w:t>
      </w:r>
    </w:p>
    <w:bookmarkStart w:id="5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(measured median 0.99 [1]); any platform where it fails is documented as a bounding result;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c>
          <w:tcPr/>
          <w:p>
            <w:pPr>
              <w:pStyle w:val="Compact"/>
              <w:jc w:val="both"/>
            </w:pPr>
            <w:r>
              <w:t xml:space="preserve">M17–M21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51"/>
    <w:bookmarkStart w:id="5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52"/>
    <w:bookmarkStart w:id="5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Server-input power readout (BMC via 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53"/>
    <w:bookmarkEnd w:id="54"/>
    <w:bookmarkStart w:id="5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55"/>
    <w:bookmarkStart w:id="56" w:name="funding"/>
    <w:p>
      <w:pPr>
        <w:pStyle w:val="Heading2"/>
        <w:pBdr>
          <w:bottom w:val="single" w:sz="6" w:space="2" w:color="C8C8C8"/>
        </w:pBdr>
      </w:pPr>
      <w:r>
        <w:t xml:space="preserve">2.5.9 Funding</w:t>
      </w:r>
    </w:p>
    <w:p>
      <w:pPr>
        <w:pStyle w:val="FirstParagraph"/>
        <w:bidi/>
        <w:jc w:val="both"/>
      </w:pPr>
      <w:r>
        <w:rPr>
          <w:rtl/>
        </w:rPr>
        <w:t xml:space="preserve">No other, complementary, or parallel student funding is taken or sought (נספח טז' §1.5.2, §2.10).</w:t>
      </w:r>
    </w:p>
    <w:bookmarkEnd w:id="56"/>
    <w:bookmarkStart w:id="61"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29">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57">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58">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9">
        <w:r>
          <w:rPr>
            <w:rStyle w:val="Hyperlink"/>
          </w:rPr>
          <w:t xml:space="preserve">10.1109/JSTARS.2013.2295324</w:t>
        </w:r>
      </w:hyperlink>
      <w:r>
        <w:t xml:space="preserve">.</w:t>
      </w:r>
    </w:p>
    <w:p>
      <w:pPr>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60">
        <w:r>
          <w:rPr>
            <w:rStyle w:val="Hyperlink"/>
          </w:rPr>
          <w:t xml:space="preserve">10.3390/electronics15102149</w:t>
        </w:r>
      </w:hyperlink>
      <w:r>
        <w:t xml:space="preserve">.</w:t>
      </w:r>
    </w:p>
    <w:bookmarkEnd w:id="61"/>
    <w:bookmarkStart w:id="71"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63"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64" name="Picture"/>
                    <pic:cNvPicPr>
                      <a:picLocks noChangeArrowheads="1" noChangeAspect="1"/>
                    </pic:cNvPicPr>
                  </pic:nvPicPr>
                  <pic:blipFill>
                    <a:blip r:embed="rId62"/>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66"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67" name="Picture"/>
                    <pic:cNvPicPr>
                      <a:picLocks noChangeArrowheads="1" noChangeAspect="1"/>
                    </pic:cNvPicPr>
                  </pic:nvPicPr>
                  <pic:blipFill>
                    <a:blip r:embed="rId65"/>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69"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70" name="Picture"/>
                    <pic:cNvPicPr>
                      <a:picLocks noChangeArrowheads="1" noChangeAspect="1"/>
                    </pic:cNvPicPr>
                  </pic:nvPicPr>
                  <pic:blipFill>
                    <a:blip r:embed="rId68"/>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71"/>
    <w:bookmarkStart w:id="72" w:name="Xb70b95b8b38ded80618834689cadeac3dd55d32"/>
    <w:p>
      <w:pPr>
        <w:pStyle w:val="Heading2"/>
        <w:pBdr>
          <w:bottom w:val="single" w:sz="6" w:space="2" w:color="C8C8C8"/>
        </w:pBdr>
      </w:pPr>
      <w: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72"/>
    <w:bookmarkStart w:id="73" w:name="X566e39577c3c04a5610748b5f031344b5e43f57"/>
    <w:p>
      <w:pPr>
        <w:pStyle w:val="Heading2"/>
        <w:pBdr>
          <w:bottom w:val="single" w:sz="6" w:space="2" w:color="C8C8C8"/>
        </w:pBdr>
      </w:pPr>
      <w:r>
        <w:t xml:space="preserve">Appendix B: Gantt, milestones and deliverables (for entry into the online system)</w:t>
      </w:r>
    </w:p>
    <w:p>
      <w:pPr>
        <w:pStyle w:val="FirstParagraph"/>
        <w:bidi/>
        <w:jc w:val="both"/>
      </w:pPr>
      <w:r>
        <w:rPr>
          <w:rtl/>
        </w:rPr>
        <w:t xml:space="preserve">This appendix is entered directly into the Ministry's online Gantt system (נספח א'1 §3), and Appendix</w:t>
      </w:r>
      <w:r>
        <w:rPr>
          <w:rtl/>
        </w:rPr>
        <w:t xml:space="preserve"> </w:t>
      </w:r>
      <w:r>
        <w:rPr>
          <w:rtl/>
        </w:rPr>
        <w:t xml:space="preserve">C is the data source for the Ministry's budget Excel (נספח טז'); neither forms part of the research-description</w:t>
      </w:r>
      <w:r>
        <w:rPr>
          <w:rtl/>
        </w:rPr>
        <w:t xml:space="preserve"> </w:t>
      </w:r>
      <w:r>
        <w:rPr>
          <w:rtl/>
        </w:rPr>
        <w:t xml:space="preserve">figures appendix, whose 5-page allowance is used by Appendix A.</w:t>
      </w:r>
    </w:p>
    <w:p>
      <w:pPr>
        <w:pStyle w:val="BodyText"/>
        <w:bidi/>
        <w:jc w:val="both"/>
      </w:pPr>
      <w:r>
        <w:rPr>
          <w:rtl/>
        </w:rPr>
        <w:t xml:space="preserve">Call 34/2026 · 24 months · start not before 1.1.2027 · prepared for entry into the Ministry's online Gantt (נספח א'1 §3).</w:t>
      </w:r>
      <w:r>
        <w:rPr>
          <w:rtl/>
        </w:rPr>
        <w:t xml:space="preserve"> </w:t>
      </w:r>
      <w:r>
        <w:rPr>
          <w:rtl/>
        </w:rPr>
        <w:t xml:space="preserve">Every milestone below carries a deliverable that is quantitative or at least judgeable, as §3.3 requires.</w:t>
      </w:r>
    </w:p>
    <w:bookmarkEnd w:id="73"/>
    <w:bookmarkStart w:id="74" w:name="schedule"/>
    <w:p>
      <w:pPr>
        <w:pStyle w:val="Heading2"/>
        <w:pBdr>
          <w:bottom w:val="single" w:sz="6" w:space="2" w:color="C8C8C8"/>
        </w:pBdr>
      </w:pPr>
      <w:r>
        <w:t xml:space="preserve">Schedule</w:t>
      </w:r>
    </w:p>
    <w:tbl>
      <w:tblPr>
        <w:tblStyle w:val="Table"/>
        <w:tblW w:type="pct" w:w="5000"/>
        <w:tblLayout w:type="fixed"/>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gridCol w:w="316"/>
      </w:tblGrid>
      <w:tr>
        <w:trPr>
          <w:tblHeader w:val="on"/>
        </w:trPr>
        <w:tc>
          <w:tcPr/>
          <w:p>
            <w:pPr>
              <w:pStyle w:val="Compact"/>
              <w:jc w:val="both"/>
            </w:pPr>
            <w:r>
              <w:t xml:space="preserve">Work package</w:t>
            </w:r>
          </w:p>
        </w:tc>
        <w:tc>
          <w:tcPr/>
          <w:p>
            <w:pPr>
              <w:pStyle w:val="Compact"/>
              <w:jc w:val="both"/>
            </w:pPr>
            <w:r>
              <w:t xml:space="preserve">M1</w:t>
            </w:r>
          </w:p>
        </w:tc>
        <w:tc>
          <w:tcPr/>
          <w:p>
            <w:pPr>
              <w:pStyle w:val="Compact"/>
              <w:jc w:val="both"/>
            </w:pPr>
            <w:r>
              <w:t xml:space="preserve">M2</w:t>
            </w:r>
          </w:p>
        </w:tc>
        <w:tc>
          <w:tcPr/>
          <w:p>
            <w:pPr>
              <w:pStyle w:val="Compact"/>
              <w:jc w:val="both"/>
            </w:pPr>
            <w:r>
              <w:t xml:space="preserve">M3</w:t>
            </w:r>
          </w:p>
        </w:tc>
        <w:tc>
          <w:tcPr/>
          <w:p>
            <w:pPr>
              <w:pStyle w:val="Compact"/>
              <w:jc w:val="both"/>
            </w:pPr>
            <w:r>
              <w:t xml:space="preserve">M4</w:t>
            </w:r>
          </w:p>
        </w:tc>
        <w:tc>
          <w:tcPr/>
          <w:p>
            <w:pPr>
              <w:pStyle w:val="Compact"/>
              <w:jc w:val="both"/>
            </w:pPr>
            <w:r>
              <w:t xml:space="preserve">M5</w:t>
            </w:r>
          </w:p>
        </w:tc>
        <w:tc>
          <w:tcPr/>
          <w:p>
            <w:pPr>
              <w:pStyle w:val="Compact"/>
              <w:jc w:val="both"/>
            </w:pPr>
            <w:r>
              <w:t xml:space="preserve">M6</w:t>
            </w:r>
          </w:p>
        </w:tc>
        <w:tc>
          <w:tcPr/>
          <w:p>
            <w:pPr>
              <w:pStyle w:val="Compact"/>
              <w:jc w:val="both"/>
            </w:pPr>
            <w:r>
              <w:t xml:space="preserve">M7</w:t>
            </w:r>
          </w:p>
        </w:tc>
        <w:tc>
          <w:tcPr/>
          <w:p>
            <w:pPr>
              <w:pStyle w:val="Compact"/>
              <w:jc w:val="both"/>
            </w:pPr>
            <w:r>
              <w:t xml:space="preserve">M8</w:t>
            </w:r>
          </w:p>
        </w:tc>
        <w:tc>
          <w:tcPr/>
          <w:p>
            <w:pPr>
              <w:pStyle w:val="Compact"/>
              <w:jc w:val="both"/>
            </w:pPr>
            <w:r>
              <w:t xml:space="preserve">M9</w:t>
            </w:r>
          </w:p>
        </w:tc>
        <w:tc>
          <w:tcPr/>
          <w:p>
            <w:pPr>
              <w:pStyle w:val="Compact"/>
              <w:jc w:val="both"/>
            </w:pPr>
            <w:r>
              <w:t xml:space="preserve">M10</w:t>
            </w:r>
          </w:p>
        </w:tc>
        <w:tc>
          <w:tcPr/>
          <w:p>
            <w:pPr>
              <w:pStyle w:val="Compact"/>
              <w:jc w:val="both"/>
            </w:pPr>
            <w:r>
              <w:t xml:space="preserve">M11</w:t>
            </w:r>
          </w:p>
        </w:tc>
        <w:tc>
          <w:tcPr/>
          <w:p>
            <w:pPr>
              <w:pStyle w:val="Compact"/>
              <w:jc w:val="both"/>
            </w:pPr>
            <w:r>
              <w:t xml:space="preserve">M12</w:t>
            </w:r>
          </w:p>
        </w:tc>
        <w:tc>
          <w:tcPr/>
          <w:p>
            <w:pPr>
              <w:pStyle w:val="Compact"/>
              <w:jc w:val="both"/>
            </w:pPr>
            <w:r>
              <w:t xml:space="preserve">M13</w:t>
            </w:r>
          </w:p>
        </w:tc>
        <w:tc>
          <w:tcPr/>
          <w:p>
            <w:pPr>
              <w:pStyle w:val="Compact"/>
              <w:jc w:val="both"/>
            </w:pPr>
            <w:r>
              <w:t xml:space="preserve">M14</w:t>
            </w:r>
          </w:p>
        </w:tc>
        <w:tc>
          <w:tcPr/>
          <w:p>
            <w:pPr>
              <w:pStyle w:val="Compact"/>
              <w:jc w:val="both"/>
            </w:pPr>
            <w:r>
              <w:t xml:space="preserve">M15</w:t>
            </w:r>
          </w:p>
        </w:tc>
        <w:tc>
          <w:tcPr/>
          <w:p>
            <w:pPr>
              <w:pStyle w:val="Compact"/>
              <w:jc w:val="both"/>
            </w:pPr>
            <w:r>
              <w:t xml:space="preserve">M16</w:t>
            </w:r>
          </w:p>
        </w:tc>
        <w:tc>
          <w:tcPr/>
          <w:p>
            <w:pPr>
              <w:pStyle w:val="Compact"/>
              <w:jc w:val="both"/>
            </w:pPr>
            <w:r>
              <w:t xml:space="preserve">M17</w:t>
            </w:r>
          </w:p>
        </w:tc>
        <w:tc>
          <w:tcPr/>
          <w:p>
            <w:pPr>
              <w:pStyle w:val="Compact"/>
              <w:jc w:val="both"/>
            </w:pPr>
            <w:r>
              <w:t xml:space="preserve">M18</w:t>
            </w:r>
          </w:p>
        </w:tc>
        <w:tc>
          <w:tcPr/>
          <w:p>
            <w:pPr>
              <w:pStyle w:val="Compact"/>
              <w:jc w:val="both"/>
            </w:pPr>
            <w:r>
              <w:t xml:space="preserve">M19</w:t>
            </w:r>
          </w:p>
        </w:tc>
        <w:tc>
          <w:tcPr/>
          <w:p>
            <w:pPr>
              <w:pStyle w:val="Compact"/>
              <w:jc w:val="both"/>
            </w:pPr>
            <w:r>
              <w:t xml:space="preserve">M20</w:t>
            </w:r>
          </w:p>
        </w:tc>
        <w:tc>
          <w:tcPr/>
          <w:p>
            <w:pPr>
              <w:pStyle w:val="Compact"/>
              <w:jc w:val="both"/>
            </w:pPr>
            <w:r>
              <w:t xml:space="preserve">M21</w:t>
            </w:r>
          </w:p>
        </w:tc>
        <w:tc>
          <w:tcPr/>
          <w:p>
            <w:pPr>
              <w:pStyle w:val="Compact"/>
              <w:jc w:val="both"/>
            </w:pPr>
            <w:r>
              <w:t xml:space="preserve">M22</w:t>
            </w:r>
          </w:p>
        </w:tc>
        <w:tc>
          <w:tcPr/>
          <w:p>
            <w:pPr>
              <w:pStyle w:val="Compact"/>
              <w:jc w:val="both"/>
            </w:pPr>
            <w:r>
              <w:t xml:space="preserve">M23</w:t>
            </w:r>
          </w:p>
        </w:tc>
        <w:tc>
          <w:tcPr/>
          <w:p>
            <w:pPr>
              <w:pStyle w:val="Compact"/>
              <w:jc w:val="both"/>
            </w:pPr>
            <w:r>
              <w:t xml:space="preserve">M24</w:t>
            </w:r>
          </w:p>
        </w:tc>
      </w:tr>
      <w:tr>
        <w:tc>
          <w:tcPr/>
          <w:p>
            <w:pPr>
              <w:pStyle w:val="Compact"/>
              <w:jc w:val="both"/>
            </w:pPr>
            <w:r>
              <w:t xml:space="preserve">WP1 ELF-2 measurement corpus (new GPUs, production engines, phases)</w:t>
            </w: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WP2 Job model, transfer model, one-test protocol</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WP3 Joint allocation-and-capping controller, digital twin</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WP4 Grid-facing flexibility and Israel demonstration</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r>
      <w:tr>
        <w:tc>
          <w:tcPr/>
          <w:p>
            <w:pPr>
              <w:pStyle w:val="Compact"/>
              <w:jc w:val="both"/>
            </w:pPr>
            <w:r>
              <w:t xml:space="preserve">WP5 Economics, policy and open release</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c>
          <w:tcPr/>
          <w:p>
            <w:pPr>
              <w:jc w:val="both"/>
            </w:pPr>
          </w:p>
        </w:tc>
      </w:tr>
      <w:tr>
        <w:tc>
          <w:tcPr/>
          <w:p>
            <w:pPr>
              <w:pStyle w:val="Compact"/>
              <w:jc w:val="both"/>
            </w:pPr>
            <w:r>
              <w:rPr>
                <w:b/>
                <w:bCs/>
              </w:rPr>
              <w:t xml:space="preserve">Milestones and deliverables</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pStyle w:val="Compact"/>
              <w:jc w:val="both"/>
            </w:pPr>
          </w:p>
        </w:tc>
        <w:tc>
          <w:tcPr/>
          <w:p>
            <w:pPr>
              <w:pStyle w:val="Compact"/>
              <w:jc w:val="both"/>
            </w:pPr>
          </w:p>
        </w:tc>
        <w:tc>
          <w:tcPr/>
          <w:p>
            <w:pPr>
              <w:pStyle w:val="Compact"/>
              <w:jc w:val="both"/>
            </w:pPr>
          </w:p>
        </w:tc>
        <w:tc>
          <w:tcPr/>
          <w:p>
            <w:pPr>
              <w:jc w:val="both"/>
            </w:pPr>
          </w:p>
        </w:tc>
        <w:tc>
          <w:tcPr/>
          <w:p>
            <w:pPr>
              <w:jc w:val="both"/>
            </w:pPr>
          </w:p>
        </w:tc>
        <w:tc>
          <w:tcPr/>
          <w:p>
            <w:pPr>
              <w:pStyle w:val="Compact"/>
              <w:jc w:val="both"/>
            </w:pPr>
          </w:p>
        </w:tc>
        <w:tc>
          <w:tcPr/>
          <w:p>
            <w:pPr>
              <w:pStyle w:val="Compact"/>
              <w:jc w:val="both"/>
            </w:pPr>
          </w:p>
        </w:tc>
        <w:tc>
          <w:tcPr/>
          <w:p>
            <w:pPr>
              <w:jc w:val="both"/>
            </w:pPr>
          </w:p>
        </w:tc>
      </w:tr>
    </w:tbl>
    <w:bookmarkEnd w:id="74"/>
    <w:bookmarkStart w:id="75" w:name="milestones-with-judgeable-outputs"/>
    <w:p>
      <w:pPr>
        <w:pStyle w:val="Heading2"/>
        <w:pBdr>
          <w:bottom w:val="single" w:sz="6" w:space="2" w:color="C8C8C8"/>
        </w:pBdr>
      </w:pPr>
      <w:r>
        <w:t xml:space="preserve">Milestones with judgeable outputs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ID</w:t>
            </w:r>
          </w:p>
        </w:tc>
        <w:tc>
          <w:tcPr/>
          <w:p>
            <w:pPr>
              <w:pStyle w:val="Compact"/>
              <w:jc w:val="both"/>
            </w:pPr>
            <w:r>
              <w:t xml:space="preserve">Month</w:t>
            </w:r>
          </w:p>
        </w:tc>
        <w:tc>
          <w:tcPr/>
          <w:p>
            <w:pPr>
              <w:pStyle w:val="Compact"/>
              <w:jc w:val="both"/>
            </w:pPr>
            <w:r>
              <w:t xml:space="preserve">Deliverable</w:t>
            </w:r>
          </w:p>
        </w:tc>
        <w:tc>
          <w:tcPr/>
          <w:p>
            <w:pPr>
              <w:pStyle w:val="Compact"/>
              <w:jc w:val="both"/>
            </w:pPr>
            <w:r>
              <w:t xml:space="preserve">Quantitative or judgeable output</w:t>
            </w:r>
          </w:p>
        </w:tc>
      </w:tr>
      <w:tr>
        <w:tc>
          <w:tcPr/>
          <w:p>
            <w:pPr>
              <w:pStyle w:val="Compact"/>
              <w:jc w:val="both"/>
            </w:pPr>
            <w:r>
              <w:t xml:space="preserve">D1</w:t>
            </w:r>
          </w:p>
        </w:tc>
        <w:tc>
          <w:tcPr/>
          <w:p>
            <w:pPr>
              <w:pStyle w:val="Compact"/>
              <w:jc w:val="both"/>
            </w:pPr>
            <w:r>
              <w:t xml:space="preserve">M6</w:t>
            </w:r>
          </w:p>
        </w:tc>
        <w:tc>
          <w:tcPr/>
          <w:p>
            <w:pPr>
              <w:pStyle w:val="Compact"/>
              <w:jc w:val="both"/>
            </w:pPr>
            <w:r>
              <w:t xml:space="preserve">ELF-2 v1: extended measurement corpus, board and server-input</w:t>
            </w:r>
          </w:p>
        </w:tc>
        <w:tc>
          <w:tcPr/>
          <w:p>
            <w:pPr>
              <w:pStyle w:val="Compact"/>
              <w:jc w:val="both"/>
            </w:pPr>
            <w:r>
              <w:t xml:space="preserve">Cap sweeps on at least two GPU generations beyond ELF and one production serving engine (vLLM); the three measurement tiers operational (NVML board; RAPL node proxy; BMC PSU input at server power); per-tier accuracy bands reported from vendor specifications, and cross-tier consistency shown on identical workloads (board &lt; node &lt; server-input, stable ratio); law fit R² ≥ 0.95 per sweep, or the deviation regime documented; JP location reported per card and engine at both levels</w:t>
            </w:r>
          </w:p>
        </w:tc>
      </w:tr>
      <w:tr>
        <w:tc>
          <w:tcPr/>
          <w:p>
            <w:pPr>
              <w:pStyle w:val="Compact"/>
              <w:jc w:val="both"/>
            </w:pPr>
            <w:r>
              <w:t xml:space="preserve">MS1</w:t>
            </w:r>
          </w:p>
        </w:tc>
        <w:tc>
          <w:tcPr/>
          <w:p>
            <w:pPr>
              <w:pStyle w:val="Compact"/>
              <w:jc w:val="both"/>
            </w:pPr>
            <w:r>
              <w:t xml:space="preserve">M8</w:t>
            </w:r>
          </w:p>
        </w:tc>
        <w:tc>
          <w:tcPr/>
          <w:p>
            <w:pPr>
              <w:pStyle w:val="Compact"/>
              <w:jc w:val="both"/>
            </w:pPr>
            <w:r>
              <w:t xml:space="preserve">Regime map</w:t>
            </w:r>
          </w:p>
        </w:tc>
        <w:tc>
          <w:tcPr/>
          <w:p>
            <w:pPr>
              <w:pStyle w:val="Compact"/>
              <w:jc w:val="both"/>
            </w:pPr>
            <w:r>
              <w:t xml:space="preserve">Documented domain of validity of the response law and of the per-card constant across engines, prefill/decode phases, co-location and fine-tuning; where a job model is required; an M8 technical brief to the chief scientist unit</w:t>
            </w:r>
          </w:p>
        </w:tc>
      </w:tr>
      <w:tr>
        <w:tc>
          <w:tcPr/>
          <w:p>
            <w:pPr>
              <w:pStyle w:val="Compact"/>
              <w:jc w:val="both"/>
            </w:pPr>
            <w:r>
              <w:t xml:space="preserve">MS2</w:t>
            </w:r>
          </w:p>
        </w:tc>
        <w:tc>
          <w:tcPr/>
          <w:p>
            <w:pPr>
              <w:pStyle w:val="Compact"/>
              <w:jc w:val="both"/>
            </w:pPr>
            <w:r>
              <w:t xml:space="preserve">M12</w:t>
            </w:r>
          </w:p>
        </w:tc>
        <w:tc>
          <w:tcPr/>
          <w:p>
            <w:pPr>
              <w:pStyle w:val="Compact"/>
              <w:jc w:val="both"/>
            </w:pPr>
            <w:r>
              <w:t xml:space="preserve">Job model, transfer model, one-test protocol</w:t>
            </w:r>
          </w:p>
        </w:tc>
        <w:tc>
          <w:tcPr/>
          <w:p>
            <w:pPr>
              <w:pStyle w:val="Compact"/>
              <w:jc w:val="both"/>
            </w:pPr>
            <w:r>
              <w:t xml:space="preserve">Job-model error versus the per-card constant, per regime; transfer-model placement within 5 percentage points of TDP, leave-one-out over at least five fully swept models; protocol cost ≤ 8 hours and ≤ ₪1,500 per card model</w:t>
            </w:r>
          </w:p>
        </w:tc>
      </w:tr>
      <w:tr>
        <w:tc>
          <w:tcPr/>
          <w:p>
            <w:pPr>
              <w:pStyle w:val="Compact"/>
              <w:jc w:val="both"/>
            </w:pPr>
            <w:r>
              <w:t xml:space="preserve">MS3</w:t>
            </w:r>
          </w:p>
        </w:tc>
        <w:tc>
          <w:tcPr/>
          <w:p>
            <w:pPr>
              <w:pStyle w:val="Compact"/>
              <w:jc w:val="both"/>
            </w:pPr>
            <w:r>
              <w:t xml:space="preserve">M16</w:t>
            </w:r>
          </w:p>
        </w:tc>
        <w:tc>
          <w:tcPr/>
          <w:p>
            <w:pPr>
              <w:pStyle w:val="Compact"/>
              <w:jc w:val="both"/>
            </w:pPr>
            <w:r>
              <w:t xml:space="preserve">Joint controller result</w:t>
            </w:r>
          </w:p>
        </w:tc>
        <w:tc>
          <w:tcPr/>
          <w:p>
            <w:pPr>
              <w:pStyle w:val="Compact"/>
              <w:jc w:val="both"/>
            </w:pPr>
            <w:r>
              <w:t xml:space="preserve">Energy per served job and SLO compliance versus uncapped, static-cap and cap-only baselines on seeded traces, under fixed, price-following, carbon-following and step-curtailment envelopes; the isolated marginal value of joint assignment; a pre-registered floor of at least 10 percent below cap-only energy per served job at equal SLO compliance in one or more envelopes; zero exceedance beyond the WP1 noise band (defined in D1) in committed windows, overshoot magnitude and duration reported; transient violations within the band in fewer than 1 percent of control-interval epochs, per envelope class</w:t>
            </w:r>
          </w:p>
        </w:tc>
      </w:tr>
      <w:tr>
        <w:tc>
          <w:tcPr/>
          <w:p>
            <w:pPr>
              <w:pStyle w:val="Compact"/>
              <w:jc w:val="both"/>
            </w:pPr>
            <w:r>
              <w:t xml:space="preserve">MS4</w:t>
            </w:r>
          </w:p>
        </w:tc>
        <w:tc>
          <w:tcPr/>
          <w:p>
            <w:pPr>
              <w:pStyle w:val="Compact"/>
              <w:jc w:val="both"/>
            </w:pPr>
            <w:r>
              <w:t xml:space="preserve">M20</w:t>
            </w:r>
          </w:p>
        </w:tc>
        <w:tc>
          <w:tcPr/>
          <w:p>
            <w:pPr>
              <w:pStyle w:val="Compact"/>
              <w:jc w:val="both"/>
            </w:pPr>
            <w:r>
              <w:t xml:space="preserve">Flexibility demonstration (rented BMC-metered server + fleet-scale twin)</w:t>
            </w:r>
          </w:p>
        </w:tc>
        <w:tc>
          <w:tcPr/>
          <w:p>
            <w:pPr>
              <w:pStyle w:val="Compact"/>
              <w:jc w:val="both"/>
            </w:pPr>
            <w:r>
              <w:t xml:space="preserve">Sheddable power as a fraction of the committed envelope (pre-registered floor: at least 15 percent within the ramp deadline at bounded SLO loss): kilowatts measured on the rented BMC-metered server, megawatts projected at fleet scale in the twin; ramp within 60 seconds, recovery within 5 minutes; delivery-record compliance and service cost of curtailment</w:t>
            </w:r>
          </w:p>
        </w:tc>
      </w:tr>
      <w:tr>
        <w:tc>
          <w:tcPr/>
          <w:p>
            <w:pPr>
              <w:pStyle w:val="Compact"/>
              <w:jc w:val="both"/>
            </w:pPr>
            <w:r>
              <w:t xml:space="preserve">MS5</w:t>
            </w:r>
          </w:p>
        </w:tc>
        <w:tc>
          <w:tcPr/>
          <w:p>
            <w:pPr>
              <w:pStyle w:val="Compact"/>
              <w:jc w:val="both"/>
            </w:pPr>
            <w:r>
              <w:t xml:space="preserve">M21</w:t>
            </w:r>
          </w:p>
        </w:tc>
        <w:tc>
          <w:tcPr/>
          <w:p>
            <w:pPr>
              <w:pStyle w:val="Compact"/>
              <w:jc w:val="both"/>
            </w:pPr>
            <w:r>
              <w:t xml:space="preserve">Policy report draft</w:t>
            </w:r>
          </w:p>
        </w:tc>
        <w:tc>
          <w:tcPr/>
          <w:p>
            <w:pPr>
              <w:pStyle w:val="Compact"/>
              <w:jc w:val="both"/>
            </w:pPr>
            <w:r>
              <w:t xml:space="preserve">Principal-agent and curtailment-option models on published Israeli tariff and Noga system data; every candidate instrument evaluated in the twin and ranked; measured coefficients, flexibility metrics and valuation results provided to the Electricity Authority and Noga for implementation and future revision of the flexible-connection framework (the June 2026 hearing motivates the timing); firm-plus-flexible scenarios quantified against the national queue</w:t>
            </w:r>
          </w:p>
        </w:tc>
      </w:tr>
      <w:tr>
        <w:tc>
          <w:tcPr/>
          <w:p>
            <w:pPr>
              <w:pStyle w:val="Compact"/>
              <w:jc w:val="both"/>
            </w:pPr>
            <w:r>
              <w:t xml:space="preserve">D2/D3</w:t>
            </w:r>
          </w:p>
        </w:tc>
        <w:tc>
          <w:tcPr/>
          <w:p>
            <w:pPr>
              <w:pStyle w:val="Compact"/>
              <w:jc w:val="both"/>
            </w:pPr>
            <w:r>
              <w:t xml:space="preserve">M24</w:t>
            </w:r>
          </w:p>
        </w:tc>
        <w:tc>
          <w:tcPr/>
          <w:p>
            <w:pPr>
              <w:pStyle w:val="Compact"/>
              <w:jc w:val="both"/>
            </w:pPr>
            <w:r>
              <w:t xml:space="preserve">Open release and final report</w:t>
            </w:r>
          </w:p>
        </w:tc>
        <w:tc>
          <w:tcPr/>
          <w:p>
            <w:pPr>
              <w:pStyle w:val="Compact"/>
              <w:jc w:val="both"/>
            </w:pPr>
            <w:r>
              <w:t xml:space="preserve">Public repositories (ELF-2 dataset, characterization kit, control engine, digital twin, grid interfaces) with reproducing pipelines; metered validation runs; final scientific and regulator-facing reports</w:t>
            </w:r>
          </w:p>
        </w:tc>
      </w:tr>
    </w:tbl>
    <w:p>
      <w:pPr>
        <w:pStyle w:val="BodyText"/>
        <w:bidi/>
        <w:jc w:val="both"/>
      </w:pPr>
      <w:r>
        <w:rPr>
          <w:rtl/>
        </w:rPr>
        <w:t xml:space="preserve">A report that bounds where the response law or the static cap does not hold, for example a serving regime in which the</w:t>
      </w:r>
      <w:r>
        <w:rPr>
          <w:rtl/>
        </w:rPr>
        <w:t xml:space="preserve"> </w:t>
      </w:r>
      <w:r>
        <w:rPr>
          <w:rtl/>
        </w:rPr>
        <w:t xml:space="preserve">JP moves with the workload, is an explicitly legitimate output under נספח א'1 §3.3.1, provided it was defined</w:t>
      </w:r>
      <w:r>
        <w:rPr>
          <w:rtl/>
        </w:rPr>
        <w:t xml:space="preserve"> </w:t>
      </w:r>
      <w:r>
        <w:rPr>
          <w:rtl/>
        </w:rPr>
        <w:t xml:space="preserve">that way at the outset. It is defined that way here: D1, MS1 and MS2 are stated as measurements against pre-registered</w:t>
      </w:r>
      <w:r>
        <w:rPr>
          <w:rtl/>
        </w:rPr>
        <w:t xml:space="preserve"> </w:t>
      </w:r>
      <w:r>
        <w:rPr>
          <w:rtl/>
        </w:rPr>
        <w:t xml:space="preserve">criteria, not as guaranteed confirmations.</w:t>
      </w:r>
    </w:p>
    <w:bookmarkEnd w:id="75"/>
    <w:bookmarkStart w:id="76" w:name="הערה-להזנה-במערכת-המקוונת"/>
    <w:p>
      <w:pPr>
        <w:pStyle w:val="Heading2"/>
        <w:pBdr>
          <w:bottom w:val="single" w:sz="6" w:space="2" w:color="C8C8C8"/>
        </w:pBdr>
        <w:bidi/>
        <w:jc w:val="right"/>
      </w:pPr>
      <w:r>
        <w:rPr>
          <w:rtl/>
        </w:rPr>
        <w:t xml:space="preserve">הערה להזנה במערכת המקוונת</w:t>
      </w:r>
    </w:p>
    <w:p>
      <w:pPr>
        <w:pStyle w:val="FirstParagraph"/>
        <w:bidi/>
        <w:jc w:val="both"/>
      </w:pPr>
      <w:r>
        <w:rPr>
          <w:rtl/>
        </w:rPr>
        <w:t xml:space="preserve">תרשים הגאנט נדרש להיות ממולא ישירות במערכת ההגשה המקוונת (נספח א'1 §3), ולכלול תיאור של אבני הדרך, לוח זמנים לכל</w:t>
      </w:r>
      <w:r>
        <w:rPr>
          <w:rtl/>
        </w:rPr>
        <w:t xml:space="preserve"> </w:t>
      </w:r>
      <w:r>
        <w:rPr>
          <w:rtl/>
        </w:rPr>
        <w:t xml:space="preserve">אבן דרך, ותפוקה למסירה, כמותית או לפחות בת שיפוט. הטבלאות שלמעלה נערכו בפורמט שניתן להעתיק ישירות לשדות המערכת.</w:t>
      </w:r>
    </w:p>
    <w:bookmarkEnd w:id="76"/>
    <w:bookmarkStart w:id="77" w:name="נספח-ג-מפרט-תקציבי-בעברית-לפי-נספח-טז"/>
    <w:p>
      <w:pPr>
        <w:pStyle w:val="Heading2"/>
        <w:pBdr>
          <w:bottom w:val="single" w:sz="6" w:space="2" w:color="C8C8C8"/>
        </w:pBdr>
        <w:bidi/>
        <w:jc w:val="right"/>
      </w:pPr>
      <w:r>
        <w:rPr>
          <w:rtl/>
        </w:rPr>
        <w:t xml:space="preserve">נספח ג': מפרט תקציבי (בעברית, לפי נספח טז')</w:t>
      </w:r>
    </w:p>
    <w:p>
      <w:pPr>
        <w:pStyle w:val="FirstParagraph"/>
        <w:bidi/>
        <w:jc w:val="both"/>
      </w:pPr>
      <w:r>
        <w:rPr>
          <w:rtl/>
        </w:rPr>
        <w:t xml:space="preserve">קול קורא 34/2026 · משרד האנרגיה והתשתיות · מסלול אקדמיה · מוסד: המכון הטכנולוגי חולון (HIT)</w:t>
      </w:r>
      <w:r>
        <w:rPr>
          <w:rtl/>
        </w:rPr>
        <w:br/>
      </w:r>
      <w:r>
        <w:rPr>
          <w:rtl/>
        </w:rPr>
        <w:t xml:space="preserve">מנהל הפרויקט: אלכסנדר אפארצין, מרצה בכיר, המחלקה למדעי המחשב · משך המחקר: 24 חודשים · תחילת עבודה: לא לפני 1.1.2027</w:t>
      </w:r>
    </w:p>
    <w:p>
      <w:pPr>
        <w:pStyle w:val="BodyText"/>
        <w:bidi/>
        <w:jc w:val="both"/>
      </w:pPr>
      <w:r>
        <w:rPr>
          <w:rtl/>
        </w:rPr>
        <w:t xml:space="preserve">המפרט התקציבי חייב להיכתב בעברית (נספח טז' §1.3) ולהיות מוגש בקובץ האקסל של המשרד, הכולל חמש לשוניות:</w:t>
      </w:r>
      <w:r>
        <w:rPr>
          <w:rtl/>
        </w:rPr>
        <w:t xml:space="preserve"> </w:t>
      </w:r>
      <w:r>
        <w:rPr>
          <w:rtl/>
        </w:rPr>
        <w:t xml:space="preserve">סיכום מפרט תקציבי, תקציב שנה א', תקציב שנה ב', תקציב שנה ג', דוח כספי ודיווח אסמכתאות. המסמך הזה הוא מקור</w:t>
      </w:r>
      <w:r>
        <w:rPr>
          <w:rtl/>
        </w:rPr>
        <w:t xml:space="preserve"> </w:t>
      </w:r>
      <w:r>
        <w:rPr>
          <w:rtl/>
        </w:rPr>
        <w:t xml:space="preserve">הנתונים למילוי הקובץ, לא תחליף לו.</w:t>
      </w:r>
    </w:p>
    <w:bookmarkEnd w:id="77"/>
    <w:bookmarkStart w:id="78" w:name="סיכום"/>
    <w:p>
      <w:pPr>
        <w:pStyle w:val="Heading2"/>
        <w:pBdr>
          <w:bottom w:val="single" w:sz="6" w:space="2" w:color="C8C8C8"/>
        </w:pBdr>
        <w:bidi/>
        <w:jc w:val="right"/>
      </w:pPr>
      <w:r>
        <w:rPr>
          <w:rtl/>
        </w:rPr>
        <w:t xml:space="preserve">סיכום</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980"/>
        <w:gridCol w:w="1980"/>
        <w:gridCol w:w="1980"/>
        <w:gridCol w:w="1980"/>
      </w:tblGrid>
      <w:tr>
        <w:trPr>
          <w:tblHeader w:val="on"/>
        </w:trPr>
        <w:tc>
          <w:tcPr/>
          <w:p>
            <w:pPr>
              <w:pStyle w:val="Compact"/>
              <w:bidi/>
              <w:jc w:val="both"/>
            </w:pPr>
            <w:r>
              <w:rPr>
                <w:rtl/>
              </w:rPr>
              <w:t xml:space="preserve">סעיף</w:t>
            </w:r>
          </w:p>
        </w:tc>
        <w:tc>
          <w:tcPr/>
          <w:p>
            <w:pPr>
              <w:pStyle w:val="Compact"/>
              <w:bidi/>
              <w:jc w:val="both"/>
            </w:pPr>
            <w:r>
              <w:rPr>
                <w:rtl/>
              </w:rPr>
              <w:t xml:space="preserve">שנה א' (₪)</w:t>
            </w:r>
          </w:p>
        </w:tc>
        <w:tc>
          <w:tcPr/>
          <w:p>
            <w:pPr>
              <w:pStyle w:val="Compact"/>
              <w:bidi/>
              <w:jc w:val="both"/>
            </w:pPr>
            <w:r>
              <w:rPr>
                <w:rtl/>
              </w:rPr>
              <w:t xml:space="preserve">שנה ב' (₪)</w:t>
            </w:r>
          </w:p>
        </w:tc>
        <w:tc>
          <w:tcPr/>
          <w:p>
            <w:pPr>
              <w:pStyle w:val="Compact"/>
              <w:bidi/>
              <w:jc w:val="both"/>
            </w:pPr>
            <w:r>
              <w:rPr>
                <w:rtl/>
              </w:rPr>
              <w:t xml:space="preserve">סה"כ (₪)</w:t>
            </w:r>
          </w:p>
        </w:tc>
      </w:tr>
      <w:tr>
        <w:tc>
          <w:tcPr/>
          <w:p>
            <w:pPr>
              <w:pStyle w:val="Compact"/>
              <w:bidi/>
              <w:jc w:val="both"/>
            </w:pPr>
            <w:r>
              <w:rPr>
                <w:rtl/>
              </w:rPr>
              <w:t xml:space="preserve">כוח אדם (מלגאי/ת בתר-דוקטורט, 90% משרה)</w:t>
            </w:r>
          </w:p>
        </w:tc>
        <w:tc>
          <w:tcPr/>
          <w:p>
            <w:pPr>
              <w:pStyle w:val="Compact"/>
              <w:jc w:val="both"/>
            </w:pPr>
            <w:r>
              <w:t xml:space="preserve">129,600</w:t>
            </w:r>
          </w:p>
        </w:tc>
        <w:tc>
          <w:tcPr/>
          <w:p>
            <w:pPr>
              <w:pStyle w:val="Compact"/>
              <w:jc w:val="both"/>
            </w:pPr>
            <w:r>
              <w:t xml:space="preserve">129,600</w:t>
            </w:r>
          </w:p>
        </w:tc>
        <w:tc>
          <w:tcPr/>
          <w:p>
            <w:pPr>
              <w:pStyle w:val="Compact"/>
              <w:jc w:val="both"/>
            </w:pPr>
            <w:r>
              <w:t xml:space="preserve">259,200</w:t>
            </w:r>
          </w:p>
        </w:tc>
      </w:tr>
      <w:tr>
        <w:tc>
          <w:tcPr/>
          <w:p>
            <w:pPr>
              <w:pStyle w:val="Compact"/>
              <w:bidi/>
              <w:jc w:val="both"/>
            </w:pPr>
            <w:r>
              <w:rPr>
                <w:rtl/>
              </w:rPr>
              <w:t xml:space="preserve">חומרים אזילים וציוד מתכלה</w:t>
            </w:r>
          </w:p>
        </w:tc>
        <w:tc>
          <w:tcPr/>
          <w:p>
            <w:pPr>
              <w:pStyle w:val="Compact"/>
              <w:jc w:val="both"/>
            </w:pPr>
            <w:r>
              <w:t xml:space="preserve">2,000</w:t>
            </w:r>
          </w:p>
        </w:tc>
        <w:tc>
          <w:tcPr/>
          <w:p>
            <w:pPr>
              <w:pStyle w:val="Compact"/>
              <w:jc w:val="both"/>
            </w:pPr>
            <w:r>
              <w:t xml:space="preserve">2,000</w:t>
            </w:r>
          </w:p>
        </w:tc>
        <w:tc>
          <w:tcPr/>
          <w:p>
            <w:pPr>
              <w:pStyle w:val="Compact"/>
              <w:jc w:val="both"/>
            </w:pPr>
            <w:r>
              <w:t xml:space="preserve">4,000</w:t>
            </w:r>
          </w:p>
        </w:tc>
      </w:tr>
      <w:tr>
        <w:tc>
          <w:tcPr/>
          <w:p>
            <w:pPr>
              <w:pStyle w:val="Compact"/>
              <w:bidi/>
              <w:jc w:val="both"/>
            </w:pPr>
            <w:r>
              <w:rPr>
                <w:rtl/>
              </w:rPr>
              <w:t xml:space="preserve">שונות (כנסים, פרסומים)</w:t>
            </w:r>
          </w:p>
        </w:tc>
        <w:tc>
          <w:tcPr/>
          <w:p>
            <w:pPr>
              <w:pStyle w:val="Compact"/>
              <w:jc w:val="both"/>
            </w:pPr>
            <w:r>
              <w:t xml:space="preserve">19,000</w:t>
            </w:r>
          </w:p>
        </w:tc>
        <w:tc>
          <w:tcPr/>
          <w:p>
            <w:pPr>
              <w:pStyle w:val="Compact"/>
              <w:jc w:val="both"/>
            </w:pPr>
            <w:r>
              <w:t xml:space="preserve">19,000</w:t>
            </w:r>
          </w:p>
        </w:tc>
        <w:tc>
          <w:tcPr/>
          <w:p>
            <w:pPr>
              <w:pStyle w:val="Compact"/>
              <w:jc w:val="both"/>
            </w:pPr>
            <w:r>
              <w:t xml:space="preserve">38,000</w:t>
            </w:r>
          </w:p>
        </w:tc>
      </w:tr>
      <w:tr>
        <w:tc>
          <w:tcPr/>
          <w:p>
            <w:pPr>
              <w:pStyle w:val="Compact"/>
              <w:bidi/>
              <w:jc w:val="both"/>
            </w:pPr>
            <w:r>
              <w:rPr>
                <w:i/>
                <w:iCs/>
                <w:rtl/>
              </w:rPr>
              <w:t xml:space="preserve">בסיס לחישוב תקורה</w:t>
            </w:r>
          </w:p>
        </w:tc>
        <w:tc>
          <w:tcPr/>
          <w:p>
            <w:pPr>
              <w:pStyle w:val="Compact"/>
              <w:jc w:val="both"/>
            </w:pPr>
            <w:r>
              <w:rPr>
                <w:i/>
                <w:iCs/>
              </w:rPr>
              <w:t xml:space="preserve">150,600</w:t>
            </w:r>
          </w:p>
        </w:tc>
        <w:tc>
          <w:tcPr/>
          <w:p>
            <w:pPr>
              <w:pStyle w:val="Compact"/>
              <w:jc w:val="both"/>
            </w:pPr>
            <w:r>
              <w:rPr>
                <w:i/>
                <w:iCs/>
              </w:rPr>
              <w:t xml:space="preserve">150,600</w:t>
            </w:r>
          </w:p>
        </w:tc>
        <w:tc>
          <w:tcPr/>
          <w:p>
            <w:pPr>
              <w:pStyle w:val="Compact"/>
              <w:jc w:val="both"/>
            </w:pPr>
            <w:r>
              <w:rPr>
                <w:i/>
                <w:iCs/>
              </w:rPr>
              <w:t xml:space="preserve">301,200</w:t>
            </w:r>
          </w:p>
        </w:tc>
      </w:tr>
      <w:tr>
        <w:tc>
          <w:tcPr/>
          <w:p>
            <w:pPr>
              <w:pStyle w:val="Compact"/>
              <w:bidi/>
              <w:jc w:val="both"/>
            </w:pPr>
            <w:r>
              <w:rPr>
                <w:rtl/>
              </w:rPr>
              <w:t xml:space="preserve">תקורה למוסד המחקר (15%)</w:t>
            </w:r>
          </w:p>
        </w:tc>
        <w:tc>
          <w:tcPr/>
          <w:p>
            <w:pPr>
              <w:pStyle w:val="Compact"/>
              <w:jc w:val="both"/>
            </w:pPr>
            <w:r>
              <w:t xml:space="preserve">22,590</w:t>
            </w:r>
          </w:p>
        </w:tc>
        <w:tc>
          <w:tcPr/>
          <w:p>
            <w:pPr>
              <w:pStyle w:val="Compact"/>
              <w:jc w:val="both"/>
            </w:pPr>
            <w:r>
              <w:t xml:space="preserve">22,590</w:t>
            </w:r>
          </w:p>
        </w:tc>
        <w:tc>
          <w:tcPr/>
          <w:p>
            <w:pPr>
              <w:pStyle w:val="Compact"/>
              <w:jc w:val="both"/>
            </w:pPr>
            <w:r>
              <w:t xml:space="preserve">45,180</w:t>
            </w:r>
          </w:p>
        </w:tc>
      </w:tr>
      <w:tr>
        <w:tc>
          <w:tcPr/>
          <w:p>
            <w:pPr>
              <w:pStyle w:val="Compact"/>
              <w:bidi/>
              <w:jc w:val="both"/>
            </w:pPr>
            <w:r>
              <w:rPr>
                <w:rtl/>
              </w:rPr>
              <w:t xml:space="preserve">קבלני משנה ועבודות חוץ (שכירת מופעי GPU בענן AWS (EC2, הרשאות root לשליטה בהספק) ושרתים ייעודיים שכורים עם טלמטריית הספק out-of-band (IPMI/Redfish) למדידה ברמת השקע) , פטור מתקורה</w:t>
            </w:r>
          </w:p>
        </w:tc>
        <w:tc>
          <w:tcPr/>
          <w:p>
            <w:pPr>
              <w:pStyle w:val="Compact"/>
              <w:jc w:val="both"/>
            </w:pPr>
            <w:r>
              <w:t xml:space="preserve">74,000</w:t>
            </w:r>
          </w:p>
        </w:tc>
        <w:tc>
          <w:tcPr/>
          <w:p>
            <w:pPr>
              <w:pStyle w:val="Compact"/>
              <w:jc w:val="both"/>
            </w:pPr>
            <w:r>
              <w:t xml:space="preserve">74,000</w:t>
            </w:r>
          </w:p>
        </w:tc>
        <w:tc>
          <w:tcPr/>
          <w:p>
            <w:pPr>
              <w:pStyle w:val="Compact"/>
              <w:jc w:val="both"/>
            </w:pPr>
            <w:r>
              <w:t xml:space="preserve">148,000</w:t>
            </w:r>
          </w:p>
        </w:tc>
      </w:tr>
      <w:tr>
        <w:tc>
          <w:tcPr/>
          <w:p>
            <w:pPr>
              <w:pStyle w:val="Compact"/>
              <w:bidi/>
              <w:jc w:val="both"/>
            </w:pPr>
            <w:r>
              <w:rPr>
                <w:rtl/>
              </w:rPr>
              <w:t xml:space="preserve">סה"כ תקציב מבוקש</w:t>
            </w:r>
          </w:p>
        </w:tc>
        <w:tc>
          <w:tcPr/>
          <w:p>
            <w:pPr>
              <w:pStyle w:val="Compact"/>
              <w:jc w:val="both"/>
            </w:pPr>
            <w:r>
              <w:t xml:space="preserve">247,190</w:t>
            </w:r>
          </w:p>
        </w:tc>
        <w:tc>
          <w:tcPr/>
          <w:p>
            <w:pPr>
              <w:pStyle w:val="Compact"/>
              <w:jc w:val="both"/>
            </w:pPr>
            <w:r>
              <w:t xml:space="preserve">247,190</w:t>
            </w:r>
          </w:p>
        </w:tc>
        <w:tc>
          <w:tcPr/>
          <w:p>
            <w:pPr>
              <w:pStyle w:val="Compact"/>
              <w:jc w:val="both"/>
            </w:pPr>
            <w:r>
              <w:t xml:space="preserve">494,380</w:t>
            </w:r>
          </w:p>
        </w:tc>
      </w:tr>
    </w:tbl>
    <w:bookmarkEnd w:id="78"/>
    <w:bookmarkStart w:id="79" w:name="בדיקת-עמידה-במגבלות-הקול-הקורא"/>
    <w:p>
      <w:pPr>
        <w:pStyle w:val="Heading2"/>
        <w:pBdr>
          <w:bottom w:val="single" w:sz="6" w:space="2" w:color="C8C8C8"/>
        </w:pBdr>
        <w:bidi/>
        <w:jc w:val="right"/>
      </w:pPr>
      <w:r>
        <w:rPr>
          <w:rtl/>
        </w:rPr>
        <w:t xml:space="preserve">בדיקת עמידה במגבלות הקול הקורא</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584"/>
        <w:gridCol w:w="1584"/>
        <w:gridCol w:w="1584"/>
        <w:gridCol w:w="1584"/>
        <w:gridCol w:w="1584"/>
      </w:tblGrid>
      <w:tr>
        <w:trPr>
          <w:tblHeader w:val="on"/>
        </w:trPr>
        <w:tc>
          <w:tcPr/>
          <w:p>
            <w:pPr>
              <w:pStyle w:val="Compact"/>
              <w:bidi/>
              <w:jc w:val="both"/>
            </w:pPr>
            <w:r>
              <w:rPr>
                <w:rtl/>
              </w:rPr>
              <w:t xml:space="preserve">מגבלה</w:t>
            </w:r>
          </w:p>
        </w:tc>
        <w:tc>
          <w:tcPr/>
          <w:p>
            <w:pPr>
              <w:pStyle w:val="Compact"/>
              <w:bidi/>
              <w:jc w:val="both"/>
            </w:pPr>
            <w:r>
              <w:rPr>
                <w:rtl/>
              </w:rPr>
              <w:t xml:space="preserve">מקור</w:t>
            </w:r>
          </w:p>
        </w:tc>
        <w:tc>
          <w:tcPr/>
          <w:p>
            <w:pPr>
              <w:pStyle w:val="Compact"/>
              <w:bidi/>
              <w:jc w:val="both"/>
            </w:pPr>
            <w:r>
              <w:rPr>
                <w:rtl/>
              </w:rPr>
              <w:t xml:space="preserve">הנדרש</w:t>
            </w:r>
          </w:p>
        </w:tc>
        <w:tc>
          <w:tcPr/>
          <w:p>
            <w:pPr>
              <w:pStyle w:val="Compact"/>
              <w:bidi/>
              <w:jc w:val="both"/>
            </w:pPr>
            <w:r>
              <w:rPr>
                <w:rtl/>
              </w:rPr>
              <w:t xml:space="preserve">בפועל</w:t>
            </w:r>
          </w:p>
        </w:tc>
        <w:tc>
          <w:tcPr/>
          <w:p>
            <w:pPr>
              <w:pStyle w:val="Compact"/>
              <w:bidi/>
              <w:jc w:val="both"/>
            </w:pPr>
            <w:r>
              <w:rPr>
                <w:rtl/>
              </w:rPr>
              <w:t xml:space="preserve">סטטוס</w:t>
            </w:r>
          </w:p>
        </w:tc>
      </w:tr>
      <w:tr>
        <w:tc>
          <w:tcPr/>
          <w:p>
            <w:pPr>
              <w:pStyle w:val="Compact"/>
              <w:bidi/>
              <w:jc w:val="both"/>
            </w:pPr>
            <w:r>
              <w:rPr>
                <w:rtl/>
              </w:rPr>
              <w:t xml:space="preserve">תקציב שנתי מרבי</w:t>
            </w:r>
          </w:p>
        </w:tc>
        <w:tc>
          <w:tcPr/>
          <w:p>
            <w:pPr>
              <w:pStyle w:val="Compact"/>
              <w:bidi/>
              <w:jc w:val="both"/>
            </w:pPr>
            <w:r>
              <w:rPr>
                <w:rtl/>
              </w:rPr>
              <w:t xml:space="preserve">נספח טז' §1.4</w:t>
            </w:r>
          </w:p>
        </w:tc>
        <w:tc>
          <w:tcPr/>
          <w:p>
            <w:pPr>
              <w:pStyle w:val="Compact"/>
              <w:jc w:val="both"/>
            </w:pPr>
            <w:r>
              <w:t xml:space="preserve">≤ 250,000</w:t>
            </w:r>
          </w:p>
        </w:tc>
        <w:tc>
          <w:tcPr/>
          <w:p>
            <w:pPr>
              <w:pStyle w:val="Compact"/>
              <w:jc w:val="both"/>
            </w:pPr>
            <w:r>
              <w:t xml:space="preserve">247,190</w:t>
            </w:r>
          </w:p>
        </w:tc>
        <w:tc>
          <w:tcPr/>
          <w:p>
            <w:pPr>
              <w:pStyle w:val="Compact"/>
              <w:bidi/>
              <w:jc w:val="both"/>
            </w:pPr>
            <w:r>
              <w:rPr>
                <w:rtl/>
              </w:rPr>
              <w:t xml:space="preserve">עומד</w:t>
            </w:r>
          </w:p>
        </w:tc>
      </w:tr>
      <w:tr>
        <w:tc>
          <w:tcPr/>
          <w:p>
            <w:pPr>
              <w:pStyle w:val="Compact"/>
              <w:bidi/>
              <w:jc w:val="both"/>
            </w:pPr>
            <w:r>
              <w:rPr>
                <w:rtl/>
              </w:rPr>
              <w:t xml:space="preserve">תקציב כולל למחקר דו-שנתי</w:t>
            </w:r>
          </w:p>
        </w:tc>
        <w:tc>
          <w:tcPr/>
          <w:p>
            <w:pPr>
              <w:pStyle w:val="Compact"/>
              <w:bidi/>
              <w:jc w:val="both"/>
            </w:pPr>
            <w:r>
              <w:rPr>
                <w:rtl/>
              </w:rPr>
              <w:t xml:space="preserve">נספח טז' §1.4</w:t>
            </w:r>
          </w:p>
        </w:tc>
        <w:tc>
          <w:tcPr/>
          <w:p>
            <w:pPr>
              <w:pStyle w:val="Compact"/>
              <w:jc w:val="both"/>
            </w:pPr>
            <w:r>
              <w:t xml:space="preserve">≤ 500,000</w:t>
            </w:r>
          </w:p>
        </w:tc>
        <w:tc>
          <w:tcPr/>
          <w:p>
            <w:pPr>
              <w:pStyle w:val="Compact"/>
              <w:jc w:val="both"/>
            </w:pPr>
            <w:r>
              <w:t xml:space="preserve">494,380</w:t>
            </w:r>
          </w:p>
        </w:tc>
        <w:tc>
          <w:tcPr/>
          <w:p>
            <w:pPr>
              <w:pStyle w:val="Compact"/>
              <w:bidi/>
              <w:jc w:val="both"/>
            </w:pPr>
            <w:r>
              <w:rPr>
                <w:rtl/>
              </w:rPr>
              <w:t xml:space="preserve">עומד</w:t>
            </w:r>
          </w:p>
        </w:tc>
      </w:tr>
      <w:tr>
        <w:tc>
          <w:tcPr/>
          <w:p>
            <w:pPr>
              <w:pStyle w:val="Compact"/>
              <w:bidi/>
              <w:jc w:val="both"/>
            </w:pPr>
            <w:r>
              <w:rPr>
                <w:rtl/>
              </w:rPr>
              <w:t xml:space="preserve">שיעור כוח אדם (מבסיס טרום-תקורה)</w:t>
            </w:r>
          </w:p>
        </w:tc>
        <w:tc>
          <w:tcPr/>
          <w:p>
            <w:pPr>
              <w:pStyle w:val="Compact"/>
              <w:bidi/>
              <w:jc w:val="both"/>
            </w:pPr>
            <w:r>
              <w:rPr>
                <w:rtl/>
              </w:rPr>
              <w:t xml:space="preserve">נספח טז' §2.4</w:t>
            </w:r>
          </w:p>
        </w:tc>
        <w:tc>
          <w:tcPr/>
          <w:p>
            <w:pPr>
              <w:pStyle w:val="Compact"/>
              <w:jc w:val="both"/>
            </w:pPr>
            <w:r>
              <w:t xml:space="preserve">≤ 60%</w:t>
            </w:r>
          </w:p>
        </w:tc>
        <w:tc>
          <w:tcPr/>
          <w:p>
            <w:pPr>
              <w:pStyle w:val="Compact"/>
              <w:jc w:val="both"/>
            </w:pPr>
            <w:r>
              <w:t xml:space="preserve">57.7%</w:t>
            </w:r>
          </w:p>
        </w:tc>
        <w:tc>
          <w:tcPr/>
          <w:p>
            <w:pPr>
              <w:pStyle w:val="Compact"/>
              <w:bidi/>
              <w:jc w:val="both"/>
            </w:pPr>
            <w:r>
              <w:rPr>
                <w:rtl/>
              </w:rPr>
              <w:t xml:space="preserve">עומד</w:t>
            </w:r>
          </w:p>
        </w:tc>
      </w:tr>
      <w:tr>
        <w:tc>
          <w:tcPr/>
          <w:p>
            <w:pPr>
              <w:pStyle w:val="Compact"/>
              <w:bidi/>
              <w:jc w:val="both"/>
            </w:pPr>
            <w:r>
              <w:rPr>
                <w:rtl/>
              </w:rPr>
              <w:t xml:space="preserve">מלגת בתר-דוקטורט למשרה מלאה</w:t>
            </w:r>
          </w:p>
        </w:tc>
        <w:tc>
          <w:tcPr/>
          <w:p>
            <w:pPr>
              <w:pStyle w:val="Compact"/>
              <w:bidi/>
              <w:jc w:val="both"/>
            </w:pPr>
            <w:r>
              <w:rPr>
                <w:rtl/>
              </w:rPr>
              <w:t xml:space="preserve">נספח טז' §2.3.3</w:t>
            </w:r>
          </w:p>
        </w:tc>
        <w:tc>
          <w:tcPr/>
          <w:p>
            <w:pPr>
              <w:pStyle w:val="Compact"/>
              <w:jc w:val="both"/>
            </w:pPr>
            <w:r>
              <w:t xml:space="preserve">≤ 168,000</w:t>
            </w:r>
          </w:p>
        </w:tc>
        <w:tc>
          <w:tcPr/>
          <w:p>
            <w:pPr>
              <w:pStyle w:val="Compact"/>
              <w:bidi/>
              <w:jc w:val="both"/>
            </w:pPr>
            <w:r>
              <w:rPr>
                <w:rtl/>
              </w:rPr>
              <w:t xml:space="preserve">144,000 (129,600 ב-90%)</w:t>
            </w:r>
          </w:p>
        </w:tc>
        <w:tc>
          <w:tcPr/>
          <w:p>
            <w:pPr>
              <w:pStyle w:val="Compact"/>
              <w:bidi/>
              <w:jc w:val="both"/>
            </w:pPr>
            <w:r>
              <w:rPr>
                <w:rtl/>
              </w:rPr>
              <w:t xml:space="preserve">עומד</w:t>
            </w:r>
          </w:p>
        </w:tc>
      </w:tr>
      <w:tr>
        <w:tc>
          <w:tcPr/>
          <w:p>
            <w:pPr>
              <w:pStyle w:val="Compact"/>
              <w:bidi/>
              <w:jc w:val="both"/>
            </w:pPr>
            <w:r>
              <w:rPr>
                <w:rtl/>
              </w:rPr>
              <w:t xml:space="preserve">שיעור ציוד מהתקציב השנתי</w:t>
            </w:r>
          </w:p>
        </w:tc>
        <w:tc>
          <w:tcPr/>
          <w:p>
            <w:pPr>
              <w:pStyle w:val="Compact"/>
              <w:bidi/>
              <w:jc w:val="both"/>
            </w:pPr>
            <w:r>
              <w:rPr>
                <w:rtl/>
              </w:rPr>
              <w:t xml:space="preserve">נספח טז' §4.4</w:t>
            </w:r>
          </w:p>
        </w:tc>
        <w:tc>
          <w:tcPr/>
          <w:p>
            <w:pPr>
              <w:pStyle w:val="Compact"/>
              <w:jc w:val="both"/>
            </w:pPr>
            <w:r>
              <w:t xml:space="preserve">≤ 20%</w:t>
            </w:r>
          </w:p>
        </w:tc>
        <w:tc>
          <w:tcPr/>
          <w:p>
            <w:pPr>
              <w:pStyle w:val="Compact"/>
              <w:jc w:val="both"/>
            </w:pPr>
            <w:r>
              <w:t xml:space="preserve">0%</w:t>
            </w:r>
          </w:p>
        </w:tc>
        <w:tc>
          <w:tcPr/>
          <w:p>
            <w:pPr>
              <w:pStyle w:val="Compact"/>
              <w:bidi/>
              <w:jc w:val="both"/>
            </w:pPr>
            <w:r>
              <w:rPr>
                <w:rtl/>
              </w:rPr>
              <w:t xml:space="preserve">עומד</w:t>
            </w:r>
          </w:p>
        </w:tc>
      </w:tr>
      <w:tr>
        <w:tc>
          <w:tcPr/>
          <w:p>
            <w:pPr>
              <w:pStyle w:val="Compact"/>
              <w:bidi/>
              <w:jc w:val="both"/>
            </w:pPr>
            <w:r>
              <w:rPr>
                <w:rtl/>
              </w:rPr>
              <w:t xml:space="preserve">שיעור תקורה</w:t>
            </w:r>
          </w:p>
        </w:tc>
        <w:tc>
          <w:tcPr/>
          <w:p>
            <w:pPr>
              <w:pStyle w:val="Compact"/>
              <w:bidi/>
              <w:jc w:val="both"/>
            </w:pPr>
            <w:r>
              <w:rPr>
                <w:rtl/>
              </w:rPr>
              <w:t xml:space="preserve">נספח טז' §7.1</w:t>
            </w:r>
          </w:p>
        </w:tc>
        <w:tc>
          <w:tcPr/>
          <w:p>
            <w:pPr>
              <w:pStyle w:val="Compact"/>
              <w:jc w:val="both"/>
            </w:pPr>
            <w:r>
              <w:t xml:space="preserve">≤ 15%</w:t>
            </w:r>
          </w:p>
        </w:tc>
        <w:tc>
          <w:tcPr/>
          <w:p>
            <w:pPr>
              <w:pStyle w:val="Compact"/>
              <w:jc w:val="both"/>
            </w:pPr>
            <w:r>
              <w:t xml:space="preserve">15%</w:t>
            </w:r>
          </w:p>
        </w:tc>
        <w:tc>
          <w:tcPr/>
          <w:p>
            <w:pPr>
              <w:pStyle w:val="Compact"/>
              <w:bidi/>
              <w:jc w:val="both"/>
            </w:pPr>
            <w:r>
              <w:rPr>
                <w:rtl/>
              </w:rPr>
              <w:t xml:space="preserve">עומד</w:t>
            </w:r>
          </w:p>
        </w:tc>
      </w:tr>
      <w:tr>
        <w:tc>
          <w:tcPr/>
          <w:p>
            <w:pPr>
              <w:pStyle w:val="Compact"/>
              <w:bidi/>
              <w:jc w:val="both"/>
            </w:pPr>
            <w:r>
              <w:rPr>
                <w:rtl/>
              </w:rPr>
              <w:t xml:space="preserve">תשלום עבור פרסום מדעי</w:t>
            </w:r>
          </w:p>
        </w:tc>
        <w:tc>
          <w:tcPr/>
          <w:p>
            <w:pPr>
              <w:pStyle w:val="Compact"/>
              <w:bidi/>
              <w:jc w:val="both"/>
            </w:pPr>
            <w:r>
              <w:rPr>
                <w:rtl/>
              </w:rPr>
              <w:t xml:space="preserve">נספח טז' §5.4.9</w:t>
            </w:r>
          </w:p>
        </w:tc>
        <w:tc>
          <w:tcPr/>
          <w:p>
            <w:pPr>
              <w:pStyle w:val="Compact"/>
              <w:bidi/>
              <w:jc w:val="both"/>
            </w:pPr>
            <w:r>
              <w:rPr>
                <w:rtl/>
              </w:rPr>
              <w:t xml:space="preserve">≤ 10,000 למאמר</w:t>
            </w:r>
          </w:p>
        </w:tc>
        <w:tc>
          <w:tcPr/>
          <w:p>
            <w:pPr>
              <w:pStyle w:val="Compact"/>
              <w:jc w:val="both"/>
            </w:pPr>
            <w:r>
              <w:t xml:space="preserve">10,000 × 2</w:t>
            </w:r>
          </w:p>
        </w:tc>
        <w:tc>
          <w:tcPr/>
          <w:p>
            <w:pPr>
              <w:pStyle w:val="Compact"/>
              <w:bidi/>
              <w:jc w:val="both"/>
            </w:pPr>
            <w:r>
              <w:rPr>
                <w:rtl/>
              </w:rPr>
              <w:t xml:space="preserve">עומד</w:t>
            </w:r>
          </w:p>
        </w:tc>
      </w:tr>
      <w:tr>
        <w:tc>
          <w:tcPr/>
          <w:p>
            <w:pPr>
              <w:pStyle w:val="Compact"/>
              <w:bidi/>
              <w:jc w:val="both"/>
            </w:pPr>
            <w:r>
              <w:rPr>
                <w:rtl/>
              </w:rPr>
              <w:t xml:space="preserve">שכר לחוקר ראשי</w:t>
            </w:r>
          </w:p>
        </w:tc>
        <w:tc>
          <w:tcPr/>
          <w:p>
            <w:pPr>
              <w:pStyle w:val="Compact"/>
              <w:bidi/>
              <w:jc w:val="both"/>
            </w:pPr>
            <w:r>
              <w:rPr>
                <w:rtl/>
              </w:rPr>
              <w:t xml:space="preserve">נספח טז' §2.6</w:t>
            </w:r>
          </w:p>
        </w:tc>
        <w:tc>
          <w:tcPr/>
          <w:p>
            <w:pPr>
              <w:pStyle w:val="Compact"/>
              <w:bidi/>
              <w:jc w:val="both"/>
            </w:pPr>
            <w:r>
              <w:rPr>
                <w:rtl/>
              </w:rPr>
              <w:t xml:space="preserve">ללא שכר</w:t>
            </w:r>
          </w:p>
        </w:tc>
        <w:tc>
          <w:tcPr/>
          <w:p>
            <w:pPr>
              <w:pStyle w:val="Compact"/>
              <w:bidi/>
              <w:jc w:val="both"/>
            </w:pPr>
            <w:r>
              <w:rPr>
                <w:rtl/>
              </w:rPr>
              <w:t xml:space="preserve">לא נדרש</w:t>
            </w:r>
          </w:p>
        </w:tc>
        <w:tc>
          <w:tcPr/>
          <w:p>
            <w:pPr>
              <w:pStyle w:val="Compact"/>
              <w:bidi/>
              <w:jc w:val="both"/>
            </w:pPr>
            <w:r>
              <w:rPr>
                <w:rtl/>
              </w:rPr>
              <w:t xml:space="preserve">עומד</w:t>
            </w:r>
          </w:p>
        </w:tc>
      </w:tr>
      <w:tr>
        <w:tc>
          <w:tcPr/>
          <w:p>
            <w:pPr>
              <w:pStyle w:val="Compact"/>
              <w:bidi/>
              <w:jc w:val="both"/>
            </w:pPr>
            <w:r>
              <w:rPr>
                <w:rtl/>
              </w:rPr>
              <w:t xml:space="preserve">שכר לסגל מתוקצב ות"ת</w:t>
            </w:r>
          </w:p>
        </w:tc>
        <w:tc>
          <w:tcPr/>
          <w:p>
            <w:pPr>
              <w:pStyle w:val="Compact"/>
              <w:bidi/>
              <w:jc w:val="both"/>
            </w:pPr>
            <w:r>
              <w:rPr>
                <w:rtl/>
              </w:rPr>
              <w:t xml:space="preserve">נספח טז' §1.1</w:t>
            </w:r>
          </w:p>
        </w:tc>
        <w:tc>
          <w:tcPr/>
          <w:p>
            <w:pPr>
              <w:pStyle w:val="Compact"/>
              <w:bidi/>
              <w:jc w:val="both"/>
            </w:pPr>
            <w:r>
              <w:rPr>
                <w:rtl/>
              </w:rPr>
              <w:t xml:space="preserve">לא ממומן</w:t>
            </w:r>
          </w:p>
        </w:tc>
        <w:tc>
          <w:tcPr/>
          <w:p>
            <w:pPr>
              <w:pStyle w:val="Compact"/>
              <w:bidi/>
              <w:jc w:val="both"/>
            </w:pPr>
            <w:r>
              <w:rPr>
                <w:rtl/>
              </w:rPr>
              <w:t xml:space="preserve">לא נכלל</w:t>
            </w:r>
          </w:p>
        </w:tc>
        <w:tc>
          <w:tcPr/>
          <w:p>
            <w:pPr>
              <w:pStyle w:val="Compact"/>
              <w:bidi/>
              <w:jc w:val="both"/>
            </w:pPr>
            <w:r>
              <w:rPr>
                <w:rtl/>
              </w:rPr>
              <w:t xml:space="preserve">עומד</w:t>
            </w:r>
          </w:p>
        </w:tc>
      </w:tr>
    </w:tbl>
    <w:bookmarkEnd w:id="79"/>
    <w:bookmarkStart w:id="86" w:name="פירוט-לפי-סעיפים"/>
    <w:p>
      <w:pPr>
        <w:pStyle w:val="Heading2"/>
        <w:pBdr>
          <w:bottom w:val="single" w:sz="6" w:space="2" w:color="C8C8C8"/>
        </w:pBdr>
        <w:bidi/>
        <w:jc w:val="right"/>
      </w:pPr>
      <w:r>
        <w:rPr>
          <w:rtl/>
        </w:rPr>
        <w:t xml:space="preserve">פירוט לפי סעיפים</w:t>
      </w:r>
    </w:p>
    <w:bookmarkStart w:id="80" w:name="כוח-אדם"/>
    <w:p>
      <w:pPr>
        <w:pStyle w:val="Heading3"/>
        <w:bidi/>
        <w:jc w:val="right"/>
      </w:pPr>
      <w:r>
        <w:rPr>
          <w:rtl/>
        </w:rPr>
        <w:t xml:space="preserve">1. כוח אדם</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584"/>
        <w:gridCol w:w="1584"/>
        <w:gridCol w:w="1584"/>
        <w:gridCol w:w="1584"/>
        <w:gridCol w:w="1584"/>
      </w:tblGrid>
      <w:tr>
        <w:trPr>
          <w:tblHeader w:val="on"/>
        </w:trPr>
        <w:tc>
          <w:tcPr/>
          <w:p>
            <w:pPr>
              <w:pStyle w:val="Compact"/>
              <w:bidi/>
              <w:jc w:val="both"/>
            </w:pPr>
            <w:r>
              <w:rPr>
                <w:rtl/>
              </w:rPr>
              <w:t xml:space="preserve">שם</w:t>
            </w:r>
          </w:p>
        </w:tc>
        <w:tc>
          <w:tcPr/>
          <w:p>
            <w:pPr>
              <w:pStyle w:val="Compact"/>
              <w:bidi/>
              <w:jc w:val="both"/>
            </w:pPr>
            <w:r>
              <w:rPr>
                <w:rtl/>
              </w:rPr>
              <w:t xml:space="preserve">תפקיד</w:t>
            </w:r>
          </w:p>
        </w:tc>
        <w:tc>
          <w:tcPr/>
          <w:p>
            <w:pPr>
              <w:pStyle w:val="Compact"/>
              <w:bidi/>
              <w:jc w:val="both"/>
            </w:pPr>
            <w:r>
              <w:rPr>
                <w:rtl/>
              </w:rPr>
              <w:t xml:space="preserve">% משרה</w:t>
            </w:r>
          </w:p>
        </w:tc>
        <w:tc>
          <w:tcPr/>
          <w:p>
            <w:pPr>
              <w:pStyle w:val="Compact"/>
              <w:bidi/>
              <w:jc w:val="both"/>
            </w:pPr>
            <w:r>
              <w:rPr>
                <w:rtl/>
              </w:rPr>
              <w:t xml:space="preserve">חודשי העסקה</w:t>
            </w:r>
          </w:p>
        </w:tc>
        <w:tc>
          <w:tcPr/>
          <w:p>
            <w:pPr>
              <w:pStyle w:val="Compact"/>
              <w:bidi/>
              <w:jc w:val="both"/>
            </w:pPr>
            <w:r>
              <w:rPr>
                <w:rtl/>
              </w:rPr>
              <w:t xml:space="preserve">עלות שנתית (₪)</w:t>
            </w:r>
          </w:p>
        </w:tc>
      </w:tr>
      <w:tr>
        <w:tc>
          <w:tcPr/>
          <w:p>
            <w:pPr>
              <w:pStyle w:val="Compact"/>
              <w:bidi/>
              <w:jc w:val="both"/>
            </w:pPr>
            <w:r>
              <w:rPr>
                <w:rtl/>
              </w:rPr>
              <w:t xml:space="preserve">לא נקבע</w:t>
            </w:r>
          </w:p>
        </w:tc>
        <w:tc>
          <w:tcPr/>
          <w:p>
            <w:pPr>
              <w:pStyle w:val="Compact"/>
              <w:bidi/>
              <w:jc w:val="both"/>
            </w:pPr>
            <w:r>
              <w:rPr>
                <w:rtl/>
              </w:rPr>
              <w:t xml:space="preserve">מלגאי/ת בתר-דוקטורט</w:t>
            </w:r>
          </w:p>
        </w:tc>
        <w:tc>
          <w:tcPr/>
          <w:p>
            <w:pPr>
              <w:pStyle w:val="Compact"/>
              <w:jc w:val="both"/>
            </w:pPr>
            <w:r>
              <w:t xml:space="preserve">90%</w:t>
            </w:r>
          </w:p>
        </w:tc>
        <w:tc>
          <w:tcPr/>
          <w:p>
            <w:pPr>
              <w:pStyle w:val="Compact"/>
              <w:jc w:val="both"/>
            </w:pPr>
            <w:r>
              <w:t xml:space="preserve">12</w:t>
            </w:r>
          </w:p>
        </w:tc>
        <w:tc>
          <w:tcPr/>
          <w:p>
            <w:pPr>
              <w:pStyle w:val="Compact"/>
              <w:jc w:val="both"/>
            </w:pPr>
            <w:r>
              <w:t xml:space="preserve">129,600</w:t>
            </w:r>
          </w:p>
        </w:tc>
      </w:tr>
    </w:tbl>
    <w:p>
      <w:pPr>
        <w:pStyle w:val="BodyText"/>
        <w:bidi/>
        <w:jc w:val="both"/>
      </w:pPr>
      <w:r>
        <w:rPr>
          <w:rtl/>
        </w:rPr>
        <w:t xml:space="preserve">מלגאי הבתר-דוקטורט יבצע את קמפיין המדידות (ELF-2), את מודל ההעברה, את פיתוח בקר עיצוב-ההספק ואת ניסויי הגמישות מול הרשת, ויהיה מעורב בכל אבני</w:t>
      </w:r>
      <w:r>
        <w:rPr>
          <w:rtl/>
        </w:rPr>
        <w:t xml:space="preserve"> </w:t>
      </w:r>
      <w:r>
        <w:rPr>
          <w:rtl/>
        </w:rPr>
        <w:t xml:space="preserve">הדרך MS1 עד MS4 ובתוצרים D1 עד D3. חוקר ראשי אינו מקבל שכר (§2.6). יש לצרף לבקשה טבלאות שכר ואישור רו"ח חתום</w:t>
      </w:r>
      <w:r>
        <w:rPr>
          <w:rtl/>
        </w:rPr>
        <w:t xml:space="preserve"> </w:t>
      </w:r>
      <w:r>
        <w:rPr>
          <w:rtl/>
        </w:rPr>
        <w:t xml:space="preserve">המאשר את עלויות השכר הנהוגות במוסד (§2.2).</w:t>
      </w:r>
    </w:p>
    <w:p>
      <w:pPr>
        <w:pStyle w:val="BodyText"/>
        <w:bidi/>
        <w:jc w:val="both"/>
      </w:pPr>
      <w:r>
        <w:rPr>
          <w:rtl/>
        </w:rPr>
        <w:t xml:space="preserve">אם יידרש שילוב מסטרנט במערך המדידות, ניתן להוסיף מלגאי מסטרנט בחלקיות משרה. שימו לב: כל תוספת כוח אדם מקרבת</w:t>
      </w:r>
      <w:r>
        <w:rPr>
          <w:rtl/>
        </w:rPr>
        <w:t xml:space="preserve"> </w:t>
      </w:r>
      <w:r>
        <w:rPr>
          <w:rtl/>
        </w:rPr>
        <w:t xml:space="preserve">לתקרת ה-60%. בהיקף הנוכחי נותר מרחב של כ-2,810 ₪ בשנה בלבד עד תקרת התקציב השנתי.</w:t>
      </w:r>
    </w:p>
    <w:bookmarkEnd w:id="80"/>
    <w:bookmarkStart w:id="81" w:name="חומרים-אזילים-וציוד-מתכלה"/>
    <w:p>
      <w:pPr>
        <w:pStyle w:val="Heading3"/>
        <w:bidi/>
        <w:jc w:val="right"/>
      </w:pPr>
      <w:r>
        <w:rPr>
          <w:rtl/>
        </w:rPr>
        <w:t xml:space="preserve">2. חומרים אזילים וציוד מתכלה</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שם הפריט</w:t>
            </w:r>
          </w:p>
        </w:tc>
        <w:tc>
          <w:tcPr/>
          <w:p>
            <w:pPr>
              <w:pStyle w:val="Compact"/>
              <w:bidi/>
              <w:jc w:val="both"/>
            </w:pPr>
            <w:r>
              <w:rPr>
                <w:rtl/>
              </w:rPr>
              <w:t xml:space="preserve">סה"כ שנתי (₪)</w:t>
            </w:r>
          </w:p>
        </w:tc>
      </w:tr>
      <w:tr>
        <w:tc>
          <w:tcPr/>
          <w:p>
            <w:pPr>
              <w:pStyle w:val="Compact"/>
              <w:bidi/>
              <w:jc w:val="both"/>
            </w:pPr>
            <w:r>
              <w:rPr>
                <w:rtl/>
              </w:rPr>
              <w:t xml:space="preserve">חומרים מתכלים, אמצעי אחסון וגיבוי לקמפיין המדידות</w:t>
            </w:r>
          </w:p>
        </w:tc>
        <w:tc>
          <w:tcPr/>
          <w:p>
            <w:pPr>
              <w:pStyle w:val="Compact"/>
              <w:jc w:val="both"/>
            </w:pPr>
            <w:r>
              <w:t xml:space="preserve">2,000</w:t>
            </w:r>
          </w:p>
        </w:tc>
      </w:tr>
    </w:tbl>
    <w:bookmarkEnd w:id="81"/>
    <w:bookmarkStart w:id="82" w:name="ציוד"/>
    <w:p>
      <w:pPr>
        <w:pStyle w:val="Heading3"/>
        <w:bidi/>
        <w:jc w:val="right"/>
      </w:pPr>
      <w:r>
        <w:rPr>
          <w:rtl/>
        </w:rPr>
        <w:t xml:space="preserve">3. ציוד</w:t>
      </w:r>
    </w:p>
    <w:p>
      <w:pPr>
        <w:pStyle w:val="FirstParagraph"/>
        <w:bidi/>
        <w:jc w:val="both"/>
      </w:pPr>
      <w:r>
        <w:rPr>
          <w:rtl/>
        </w:rPr>
        <w:t xml:space="preserve">הפרויקט אינו רוכש ציוד מחשוב או מדידה. מדידת ההספק מתבצעת מטלמטריית היצרן (NVML לכרטיס, RAPL לצומת, BMC/Redfish לשקע) בחומרה שכורה; דיוק המדידה מדווח לפי מפרטי היצרן ומאומת בעקביות בין-שכבתית, ומיקום נקודת הג'ול (JP) אינו תלוי בהטיה כפלית קבועה של החיישן.</w:t>
      </w:r>
    </w:p>
    <w:p>
      <w:pPr>
        <w:pStyle w:val="BodyText"/>
        <w:bidi/>
        <w:jc w:val="both"/>
      </w:pPr>
      <w:r>
        <w:rPr>
          <w:rtl/>
        </w:rPr>
        <w:t xml:space="preserve">המשרד אינו מכיר בציוד שנרכש לפני תחילת המחקר (§4.2), והתמורה עבור ציוד מחשוב היא עד 33% מערכו לכל שנת מחקר (§4.5). לכן גיוון החומרה מושג באמצעות שירותי מחשוב ענן ושרתים שכורים הנרשמים כקבלני משנה, והפרויקט אינו רוכש ציוד כלל.</w:t>
      </w:r>
    </w:p>
    <w:bookmarkEnd w:id="82"/>
    <w:bookmarkStart w:id="83" w:name="שונות"/>
    <w:p>
      <w:pPr>
        <w:pStyle w:val="Heading3"/>
        <w:bidi/>
        <w:jc w:val="right"/>
      </w:pPr>
      <w:r>
        <w:rPr>
          <w:rtl/>
        </w:rPr>
        <w:t xml:space="preserve">4. שונות</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פריט</w:t>
            </w:r>
          </w:p>
        </w:tc>
        <w:tc>
          <w:tcPr/>
          <w:p>
            <w:pPr>
              <w:pStyle w:val="Compact"/>
              <w:bidi/>
              <w:jc w:val="both"/>
            </w:pPr>
            <w:r>
              <w:rPr>
                <w:rtl/>
              </w:rPr>
              <w:t xml:space="preserve">סה"כ שנתי (₪)</w:t>
            </w:r>
          </w:p>
        </w:tc>
      </w:tr>
      <w:tr>
        <w:tc>
          <w:tcPr/>
          <w:p>
            <w:pPr>
              <w:pStyle w:val="Compact"/>
              <w:bidi/>
              <w:jc w:val="both"/>
            </w:pPr>
            <w:r>
              <w:rPr>
                <w:rtl/>
              </w:rPr>
              <w:t xml:space="preserve">השתתפות בכנסים מדעיים רלוונטיים</w:t>
            </w:r>
          </w:p>
        </w:tc>
        <w:tc>
          <w:tcPr/>
          <w:p>
            <w:pPr>
              <w:pStyle w:val="Compact"/>
              <w:jc w:val="both"/>
            </w:pPr>
            <w:r>
              <w:t xml:space="preserve">9,000</w:t>
            </w:r>
          </w:p>
        </w:tc>
      </w:tr>
      <w:tr>
        <w:tc>
          <w:tcPr/>
          <w:p>
            <w:pPr>
              <w:pStyle w:val="Compact"/>
              <w:bidi/>
              <w:jc w:val="both"/>
            </w:pPr>
            <w:r>
              <w:rPr>
                <w:rtl/>
              </w:rPr>
              <w:t xml:space="preserve">פרסום מדעי (עד 10,000 ₪ למאמר)</w:t>
            </w:r>
          </w:p>
        </w:tc>
        <w:tc>
          <w:tcPr/>
          <w:p>
            <w:pPr>
              <w:pStyle w:val="Compact"/>
              <w:jc w:val="both"/>
            </w:pPr>
            <w:r>
              <w:t xml:space="preserve">10,000</w:t>
            </w:r>
          </w:p>
        </w:tc>
      </w:tr>
      <w:tr>
        <w:tc>
          <w:tcPr/>
          <w:p>
            <w:pPr>
              <w:pStyle w:val="Compact"/>
              <w:bidi/>
              <w:jc w:val="both"/>
            </w:pPr>
            <w:r>
              <w:rPr>
                <w:rtl/>
              </w:rPr>
              <w:t xml:space="preserve">סה"כ שונות: שנה א' 19,000 ₪; שנה ב' 19,000 ₪</w:t>
            </w:r>
          </w:p>
        </w:tc>
        <w:tc>
          <w:tcPr/>
          <w:p>
            <w:pPr>
              <w:pStyle w:val="Compact"/>
              <w:jc w:val="both"/>
            </w:pPr>
          </w:p>
        </w:tc>
      </w:tr>
    </w:tbl>
    <w:bookmarkEnd w:id="83"/>
    <w:bookmarkStart w:id="84" w:name="קבלני-משנה-ועבודות-חוץ"/>
    <w:p>
      <w:pPr>
        <w:pStyle w:val="Heading3"/>
        <w:bidi/>
        <w:jc w:val="right"/>
      </w:pPr>
      <w:r>
        <w:rPr>
          <w:rtl/>
        </w:rPr>
        <w:t xml:space="preserve">5. קבלני משנה ועבודות חוץ</w:t>
      </w:r>
    </w:p>
    <w:p>
      <w:pPr>
        <w:pStyle w:val="FirstParagraph"/>
        <w:bidi/>
        <w:jc w:val="both"/>
      </w:pPr>
      <w:r>
        <w:rPr>
          <w:rtl/>
        </w:rPr>
        <w:t xml:space="preserve">שירותי מחשוב ענן לצורך הרצות מדידה מבוקרות על משפחות מאיצים שאינן זמינות במוסד. פלטפורמת הביצוע היא AWS: מופעי EC2 עם מאיץ מלא (GPU passthrough) והרשאות root, המאפשרים שליטה עדינה במגבלת ההספק ובמדידת האנרגיה ברמת המאיץ, לפי המחירון הפומבי של AWS (תמהיל on-demand ו-spot); תדפיס מחירון מתוארך יצורף כהצעת המחיר לפי §6.3. הרצות שאינן דורשות שליטה בהספק יכולות לרוץ גם אצל</w:t>
      </w:r>
      <w:r>
        <w:rPr>
          <w:rtl/>
        </w:rPr>
        <w:t xml:space="preserve"> </w:t>
      </w:r>
      <w:r>
        <w:rPr>
          <w:b/>
          <w:bCs/>
          <w:rtl/>
        </w:rPr>
        <w:t xml:space="preserve">Modal Labs</w:t>
      </w:r>
      <w:r>
        <w:rPr>
          <w:rtl/>
        </w:rPr>
        <w:t xml:space="preserve"> </w:t>
      </w:r>
      <w:r>
        <w:rPr>
          <w:rtl/>
        </w:rPr>
        <w:t xml:space="preserve">(modal.com), המספק גישה לעשר משפחות מאיצים שונות בחשבון אחד, בחיוב לפי שנייה וללא חיוב</w:t>
      </w:r>
      <w:r>
        <w:rPr>
          <w:rtl/>
        </w:rPr>
        <w:t xml:space="preserve"> </w:t>
      </w:r>
      <w:r>
        <w:rPr>
          <w:rtl/>
        </w:rPr>
        <w:t xml:space="preserve">על זמן סרק. פירוט השעות והעלויות להלן מחושב מתדפיסי המחירון הפומבי של AWS המצורפים (נאספו 29.08.2026, אזור us-east-1): תעריפי spot לריצות סריקה הניתנות להפסקה, on-demand היכן שמצוין; מופעים מרובי-מאיצים מתומחרים לשעת GPU; כרטיסי דור חזית מתוכננים לפי תעריף H100 ומתומחרים בפועל לפי המחירון בעת הריצה (§6.3):</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1320"/>
        <w:gridCol w:w="1320"/>
        <w:gridCol w:w="1320"/>
        <w:gridCol w:w="1320"/>
        <w:gridCol w:w="1320"/>
        <w:gridCol w:w="1320"/>
      </w:tblGrid>
      <w:tr>
        <w:trPr>
          <w:tblHeader w:val="on"/>
        </w:trPr>
        <w:tc>
          <w:tcPr/>
          <w:p>
            <w:pPr>
              <w:pStyle w:val="Compact"/>
              <w:bidi/>
              <w:jc w:val="both"/>
            </w:pPr>
            <w:r>
              <w:rPr>
                <w:rtl/>
              </w:rPr>
              <w:t xml:space="preserve">מאיץ</w:t>
            </w:r>
          </w:p>
        </w:tc>
        <w:tc>
          <w:tcPr/>
          <w:p>
            <w:pPr>
              <w:pStyle w:val="Compact"/>
              <w:bidi/>
              <w:jc w:val="both"/>
            </w:pPr>
            <w:r>
              <w:rPr>
                <w:rtl/>
              </w:rPr>
              <w:t xml:space="preserve">מופע AWS</w:t>
            </w:r>
          </w:p>
        </w:tc>
        <w:tc>
          <w:tcPr/>
          <w:p>
            <w:pPr>
              <w:pStyle w:val="Compact"/>
              <w:bidi/>
              <w:jc w:val="both"/>
            </w:pPr>
            <w:r>
              <w:rPr>
                <w:rtl/>
              </w:rPr>
              <w:t xml:space="preserve">בסיס תמחור</w:t>
            </w:r>
          </w:p>
        </w:tc>
        <w:tc>
          <w:tcPr/>
          <w:p>
            <w:pPr>
              <w:pStyle w:val="Compact"/>
              <w:bidi/>
              <w:jc w:val="both"/>
            </w:pPr>
            <w:r>
              <w:rPr>
                <w:rtl/>
              </w:rPr>
              <w:t xml:space="preserve">USD לשעת GPU</w:t>
            </w:r>
          </w:p>
        </w:tc>
        <w:tc>
          <w:tcPr/>
          <w:p>
            <w:pPr>
              <w:pStyle w:val="Compact"/>
              <w:bidi/>
              <w:jc w:val="both"/>
            </w:pPr>
            <w:r>
              <w:rPr>
                <w:rtl/>
              </w:rPr>
              <w:t xml:space="preserve">שעות GPU בשנה</w:t>
            </w:r>
          </w:p>
        </w:tc>
        <w:tc>
          <w:tcPr/>
          <w:p>
            <w:pPr>
              <w:pStyle w:val="Compact"/>
              <w:bidi/>
              <w:jc w:val="both"/>
            </w:pPr>
            <w:r>
              <w:rPr>
                <w:rtl/>
              </w:rPr>
              <w:t xml:space="preserve">עלות שנתית (USD)</w:t>
            </w:r>
          </w:p>
        </w:tc>
      </w:tr>
      <w:tr>
        <w:tc>
          <w:tcPr/>
          <w:p>
            <w:pPr>
              <w:pStyle w:val="Compact"/>
              <w:jc w:val="both"/>
            </w:pPr>
            <w:r>
              <w:t xml:space="preserve">NVIDIA T4</w:t>
            </w:r>
          </w:p>
        </w:tc>
        <w:tc>
          <w:tcPr/>
          <w:p>
            <w:pPr>
              <w:pStyle w:val="Compact"/>
              <w:jc w:val="both"/>
            </w:pPr>
            <w:r>
              <w:t xml:space="preserve">g4dn.xlarge</w:t>
            </w:r>
          </w:p>
        </w:tc>
        <w:tc>
          <w:tcPr/>
          <w:p>
            <w:pPr>
              <w:pStyle w:val="Compact"/>
              <w:jc w:val="both"/>
            </w:pPr>
            <w:r>
              <w:t xml:space="preserve">spot</w:t>
            </w:r>
          </w:p>
        </w:tc>
        <w:tc>
          <w:tcPr/>
          <w:p>
            <w:pPr>
              <w:pStyle w:val="Compact"/>
              <w:jc w:val="both"/>
            </w:pPr>
            <w:r>
              <w:t xml:space="preserve">0.220</w:t>
            </w:r>
          </w:p>
        </w:tc>
        <w:tc>
          <w:tcPr/>
          <w:p>
            <w:pPr>
              <w:pStyle w:val="Compact"/>
              <w:jc w:val="both"/>
            </w:pPr>
            <w:r>
              <w:t xml:space="preserve">600</w:t>
            </w:r>
          </w:p>
        </w:tc>
        <w:tc>
          <w:tcPr/>
          <w:p>
            <w:pPr>
              <w:pStyle w:val="Compact"/>
              <w:jc w:val="both"/>
            </w:pPr>
            <w:r>
              <w:t xml:space="preserve">132</w:t>
            </w:r>
          </w:p>
        </w:tc>
      </w:tr>
      <w:tr>
        <w:tc>
          <w:tcPr/>
          <w:p>
            <w:pPr>
              <w:pStyle w:val="Compact"/>
              <w:jc w:val="both"/>
            </w:pPr>
            <w:r>
              <w:t xml:space="preserve">NVIDIA A10G</w:t>
            </w:r>
          </w:p>
        </w:tc>
        <w:tc>
          <w:tcPr/>
          <w:p>
            <w:pPr>
              <w:pStyle w:val="Compact"/>
              <w:jc w:val="both"/>
            </w:pPr>
            <w:r>
              <w:t xml:space="preserve">g5.xlarge</w:t>
            </w:r>
          </w:p>
        </w:tc>
        <w:tc>
          <w:tcPr/>
          <w:p>
            <w:pPr>
              <w:pStyle w:val="Compact"/>
              <w:jc w:val="both"/>
            </w:pPr>
            <w:r>
              <w:t xml:space="preserve">spot</w:t>
            </w:r>
          </w:p>
        </w:tc>
        <w:tc>
          <w:tcPr/>
          <w:p>
            <w:pPr>
              <w:pStyle w:val="Compact"/>
              <w:jc w:val="both"/>
            </w:pPr>
            <w:r>
              <w:t xml:space="preserve">0.501</w:t>
            </w:r>
          </w:p>
        </w:tc>
        <w:tc>
          <w:tcPr/>
          <w:p>
            <w:pPr>
              <w:pStyle w:val="Compact"/>
              <w:jc w:val="both"/>
            </w:pPr>
            <w:r>
              <w:t xml:space="preserve">600</w:t>
            </w:r>
          </w:p>
        </w:tc>
        <w:tc>
          <w:tcPr/>
          <w:p>
            <w:pPr>
              <w:pStyle w:val="Compact"/>
              <w:jc w:val="both"/>
            </w:pPr>
            <w:r>
              <w:t xml:space="preserve">300</w:t>
            </w:r>
          </w:p>
        </w:tc>
      </w:tr>
      <w:tr>
        <w:tc>
          <w:tcPr/>
          <w:p>
            <w:pPr>
              <w:pStyle w:val="Compact"/>
              <w:jc w:val="both"/>
            </w:pPr>
            <w:r>
              <w:t xml:space="preserve">NVIDIA L4</w:t>
            </w:r>
          </w:p>
        </w:tc>
        <w:tc>
          <w:tcPr/>
          <w:p>
            <w:pPr>
              <w:pStyle w:val="Compact"/>
              <w:jc w:val="both"/>
            </w:pPr>
            <w:r>
              <w:t xml:space="preserve">g6.xlarge</w:t>
            </w:r>
          </w:p>
        </w:tc>
        <w:tc>
          <w:tcPr/>
          <w:p>
            <w:pPr>
              <w:pStyle w:val="Compact"/>
              <w:jc w:val="both"/>
            </w:pPr>
            <w:r>
              <w:t xml:space="preserve">spot</w:t>
            </w:r>
          </w:p>
        </w:tc>
        <w:tc>
          <w:tcPr/>
          <w:p>
            <w:pPr>
              <w:pStyle w:val="Compact"/>
              <w:jc w:val="both"/>
            </w:pPr>
            <w:r>
              <w:t xml:space="preserve">0.105</w:t>
            </w:r>
          </w:p>
        </w:tc>
        <w:tc>
          <w:tcPr/>
          <w:p>
            <w:pPr>
              <w:pStyle w:val="Compact"/>
              <w:jc w:val="both"/>
            </w:pPr>
            <w:r>
              <w:t xml:space="preserve">600</w:t>
            </w:r>
          </w:p>
        </w:tc>
        <w:tc>
          <w:tcPr/>
          <w:p>
            <w:pPr>
              <w:pStyle w:val="Compact"/>
              <w:jc w:val="both"/>
            </w:pPr>
            <w:r>
              <w:t xml:space="preserve">63</w:t>
            </w:r>
          </w:p>
        </w:tc>
      </w:tr>
      <w:tr>
        <w:tc>
          <w:tcPr/>
          <w:p>
            <w:pPr>
              <w:pStyle w:val="Compact"/>
              <w:jc w:val="both"/>
            </w:pPr>
            <w:r>
              <w:t xml:space="preserve">NVIDIA L40S</w:t>
            </w:r>
          </w:p>
        </w:tc>
        <w:tc>
          <w:tcPr/>
          <w:p>
            <w:pPr>
              <w:pStyle w:val="Compact"/>
              <w:jc w:val="both"/>
            </w:pPr>
            <w:r>
              <w:t xml:space="preserve">g6e.xlarge</w:t>
            </w:r>
          </w:p>
        </w:tc>
        <w:tc>
          <w:tcPr/>
          <w:p>
            <w:pPr>
              <w:pStyle w:val="Compact"/>
              <w:jc w:val="both"/>
            </w:pPr>
            <w:r>
              <w:t xml:space="preserve">on-demand</w:t>
            </w:r>
          </w:p>
        </w:tc>
        <w:tc>
          <w:tcPr/>
          <w:p>
            <w:pPr>
              <w:pStyle w:val="Compact"/>
              <w:jc w:val="both"/>
            </w:pPr>
            <w:r>
              <w:t xml:space="preserve">1.861</w:t>
            </w:r>
          </w:p>
        </w:tc>
        <w:tc>
          <w:tcPr/>
          <w:p>
            <w:pPr>
              <w:pStyle w:val="Compact"/>
              <w:jc w:val="both"/>
            </w:pPr>
            <w:r>
              <w:t xml:space="preserve">500</w:t>
            </w:r>
          </w:p>
        </w:tc>
        <w:tc>
          <w:tcPr/>
          <w:p>
            <w:pPr>
              <w:pStyle w:val="Compact"/>
              <w:jc w:val="both"/>
            </w:pPr>
            <w:r>
              <w:t xml:space="preserve">931</w:t>
            </w:r>
          </w:p>
        </w:tc>
      </w:tr>
      <w:tr>
        <w:tc>
          <w:tcPr/>
          <w:p>
            <w:pPr>
              <w:pStyle w:val="Compact"/>
              <w:jc w:val="both"/>
            </w:pPr>
            <w:r>
              <w:t xml:space="preserve">NVIDIA V100</w:t>
            </w:r>
          </w:p>
        </w:tc>
        <w:tc>
          <w:tcPr/>
          <w:p>
            <w:pPr>
              <w:pStyle w:val="Compact"/>
              <w:jc w:val="both"/>
            </w:pPr>
            <w:r>
              <w:t xml:space="preserve">p3.2xlarge</w:t>
            </w:r>
          </w:p>
        </w:tc>
        <w:tc>
          <w:tcPr/>
          <w:p>
            <w:pPr>
              <w:pStyle w:val="Compact"/>
              <w:jc w:val="both"/>
            </w:pPr>
            <w:r>
              <w:t xml:space="preserve">spot</w:t>
            </w:r>
          </w:p>
        </w:tc>
        <w:tc>
          <w:tcPr/>
          <w:p>
            <w:pPr>
              <w:pStyle w:val="Compact"/>
              <w:jc w:val="both"/>
            </w:pPr>
            <w:r>
              <w:t xml:space="preserve">1.381</w:t>
            </w:r>
          </w:p>
        </w:tc>
        <w:tc>
          <w:tcPr/>
          <w:p>
            <w:pPr>
              <w:pStyle w:val="Compact"/>
              <w:jc w:val="both"/>
            </w:pPr>
            <w:r>
              <w:t xml:space="preserve">450</w:t>
            </w:r>
          </w:p>
        </w:tc>
        <w:tc>
          <w:tcPr/>
          <w:p>
            <w:pPr>
              <w:pStyle w:val="Compact"/>
              <w:jc w:val="both"/>
            </w:pPr>
            <w:r>
              <w:t xml:space="preserve">621</w:t>
            </w:r>
          </w:p>
        </w:tc>
      </w:tr>
      <w:tr>
        <w:tc>
          <w:tcPr/>
          <w:p>
            <w:pPr>
              <w:pStyle w:val="Compact"/>
              <w:jc w:val="both"/>
            </w:pPr>
            <w:r>
              <w:t xml:space="preserve">NVIDIA A100 40GB</w:t>
            </w:r>
          </w:p>
        </w:tc>
        <w:tc>
          <w:tcPr/>
          <w:p>
            <w:pPr>
              <w:pStyle w:val="Compact"/>
              <w:bidi/>
              <w:jc w:val="both"/>
            </w:pPr>
            <w:r>
              <w:rPr>
                <w:rtl/>
              </w:rPr>
              <w:t xml:space="preserve">p4d.24xlarge (8 מאיצים)</w:t>
            </w:r>
          </w:p>
        </w:tc>
        <w:tc>
          <w:tcPr/>
          <w:p>
            <w:pPr>
              <w:pStyle w:val="Compact"/>
              <w:bidi/>
              <w:jc w:val="both"/>
            </w:pPr>
            <w:r>
              <w:rPr>
                <w:rtl/>
              </w:rPr>
              <w:t xml:space="preserve">spot, לשעת GPU</w:t>
            </w:r>
          </w:p>
        </w:tc>
        <w:tc>
          <w:tcPr/>
          <w:p>
            <w:pPr>
              <w:pStyle w:val="Compact"/>
              <w:jc w:val="both"/>
            </w:pPr>
            <w:r>
              <w:t xml:space="preserve">1.633</w:t>
            </w:r>
          </w:p>
        </w:tc>
        <w:tc>
          <w:tcPr/>
          <w:p>
            <w:pPr>
              <w:pStyle w:val="Compact"/>
              <w:jc w:val="both"/>
            </w:pPr>
            <w:r>
              <w:t xml:space="preserve">1,000</w:t>
            </w:r>
          </w:p>
        </w:tc>
        <w:tc>
          <w:tcPr/>
          <w:p>
            <w:pPr>
              <w:pStyle w:val="Compact"/>
              <w:jc w:val="both"/>
            </w:pPr>
            <w:r>
              <w:t xml:space="preserve">1,633</w:t>
            </w:r>
          </w:p>
        </w:tc>
      </w:tr>
      <w:tr>
        <w:tc>
          <w:tcPr/>
          <w:p>
            <w:pPr>
              <w:pStyle w:val="Compact"/>
              <w:jc w:val="both"/>
            </w:pPr>
            <w:r>
              <w:t xml:space="preserve">NVIDIA H100</w:t>
            </w:r>
          </w:p>
        </w:tc>
        <w:tc>
          <w:tcPr/>
          <w:p>
            <w:pPr>
              <w:pStyle w:val="Compact"/>
              <w:bidi/>
              <w:jc w:val="both"/>
            </w:pPr>
            <w:r>
              <w:rPr>
                <w:rtl/>
              </w:rPr>
              <w:t xml:space="preserve">p5.48xlarge (8 מאיצים)</w:t>
            </w:r>
          </w:p>
        </w:tc>
        <w:tc>
          <w:tcPr/>
          <w:p>
            <w:pPr>
              <w:pStyle w:val="Compact"/>
              <w:bidi/>
              <w:jc w:val="both"/>
            </w:pPr>
            <w:r>
              <w:rPr>
                <w:rtl/>
              </w:rPr>
              <w:t xml:space="preserve">on-demand, לשעת GPU</w:t>
            </w:r>
          </w:p>
        </w:tc>
        <w:tc>
          <w:tcPr/>
          <w:p>
            <w:pPr>
              <w:pStyle w:val="Compact"/>
              <w:jc w:val="both"/>
            </w:pPr>
            <w:r>
              <w:t xml:space="preserve">6.880</w:t>
            </w:r>
          </w:p>
        </w:tc>
        <w:tc>
          <w:tcPr/>
          <w:p>
            <w:pPr>
              <w:pStyle w:val="Compact"/>
              <w:jc w:val="both"/>
            </w:pPr>
            <w:r>
              <w:t xml:space="preserve">1,100</w:t>
            </w:r>
          </w:p>
        </w:tc>
        <w:tc>
          <w:tcPr/>
          <w:p>
            <w:pPr>
              <w:pStyle w:val="Compact"/>
              <w:jc w:val="both"/>
            </w:pPr>
            <w:r>
              <w:t xml:space="preserve">7,568</w:t>
            </w:r>
          </w:p>
        </w:tc>
      </w:tr>
      <w:tr>
        <w:tc>
          <w:tcPr/>
          <w:p>
            <w:pPr>
              <w:pStyle w:val="Compact"/>
              <w:bidi/>
              <w:jc w:val="both"/>
            </w:pPr>
            <w:r>
              <w:rPr>
                <w:rtl/>
              </w:rPr>
              <w:t xml:space="preserve">דור חזית (H200/B200)</w:t>
            </w:r>
          </w:p>
        </w:tc>
        <w:tc>
          <w:tcPr/>
          <w:p>
            <w:pPr>
              <w:pStyle w:val="Compact"/>
              <w:bidi/>
              <w:jc w:val="both"/>
            </w:pPr>
            <w:r>
              <w:rPr>
                <w:rtl/>
              </w:rPr>
              <w:t xml:space="preserve">לפי זמינות</w:t>
            </w:r>
          </w:p>
        </w:tc>
        <w:tc>
          <w:tcPr/>
          <w:p>
            <w:pPr>
              <w:pStyle w:val="Compact"/>
              <w:bidi/>
              <w:jc w:val="both"/>
            </w:pPr>
            <w:r>
              <w:rPr>
                <w:rtl/>
              </w:rPr>
              <w:t xml:space="preserve">תכנון לפי תעריף H100</w:t>
            </w:r>
          </w:p>
        </w:tc>
        <w:tc>
          <w:tcPr/>
          <w:p>
            <w:pPr>
              <w:pStyle w:val="Compact"/>
              <w:jc w:val="both"/>
            </w:pPr>
            <w:r>
              <w:t xml:space="preserve">6.880</w:t>
            </w:r>
          </w:p>
        </w:tc>
        <w:tc>
          <w:tcPr/>
          <w:p>
            <w:pPr>
              <w:pStyle w:val="Compact"/>
              <w:jc w:val="both"/>
            </w:pPr>
            <w:r>
              <w:t xml:space="preserve">700</w:t>
            </w:r>
          </w:p>
        </w:tc>
        <w:tc>
          <w:tcPr/>
          <w:p>
            <w:pPr>
              <w:pStyle w:val="Compact"/>
              <w:jc w:val="both"/>
            </w:pPr>
            <w:r>
              <w:t xml:space="preserve">4,816</w:t>
            </w:r>
          </w:p>
        </w:tc>
      </w:tr>
      <w:tr>
        <w:tc>
          <w:tcPr/>
          <w:p>
            <w:pPr>
              <w:pStyle w:val="Compact"/>
              <w:bidi/>
              <w:jc w:val="both"/>
            </w:pPr>
            <w:r>
              <w:rPr>
                <w:rtl/>
              </w:rPr>
              <w:t xml:space="preserve">סה"כ שעות GPU</w:t>
            </w:r>
          </w:p>
        </w:tc>
        <w:tc>
          <w:tcPr/>
          <w:p>
            <w:pPr>
              <w:pStyle w:val="Compact"/>
              <w:jc w:val="both"/>
            </w:pPr>
          </w:p>
        </w:tc>
        <w:tc>
          <w:tcPr/>
          <w:p>
            <w:pPr>
              <w:pStyle w:val="Compact"/>
              <w:jc w:val="both"/>
            </w:pPr>
          </w:p>
        </w:tc>
        <w:tc>
          <w:tcPr/>
          <w:p>
            <w:pPr>
              <w:pStyle w:val="Compact"/>
              <w:jc w:val="both"/>
            </w:pPr>
          </w:p>
        </w:tc>
        <w:tc>
          <w:tcPr/>
          <w:p>
            <w:pPr>
              <w:pStyle w:val="Compact"/>
              <w:jc w:val="both"/>
            </w:pPr>
            <w:r>
              <w:t xml:space="preserve">5,550</w:t>
            </w:r>
          </w:p>
        </w:tc>
        <w:tc>
          <w:tcPr/>
          <w:p>
            <w:pPr>
              <w:pStyle w:val="Compact"/>
              <w:jc w:val="both"/>
            </w:pPr>
            <w:r>
              <w:t xml:space="preserve">16,064</w:t>
            </w:r>
          </w:p>
        </w:tc>
      </w:tr>
      <w:tr>
        <w:tc>
          <w:tcPr/>
          <w:p>
            <w:pPr>
              <w:pStyle w:val="Compact"/>
              <w:bidi/>
              <w:jc w:val="both"/>
            </w:pPr>
            <w:r>
              <w:rPr>
                <w:rtl/>
              </w:rPr>
              <w:t xml:space="preserve">מעבד מארח, אחסון ותעבורה (הקצאה)</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r>
              <w:t xml:space="preserve">1,000</w:t>
            </w:r>
          </w:p>
        </w:tc>
      </w:tr>
      <w:tr>
        <w:tc>
          <w:tcPr/>
          <w:p>
            <w:pPr>
              <w:pStyle w:val="Compact"/>
              <w:bidi/>
              <w:jc w:val="both"/>
            </w:pPr>
            <w:r>
              <w:rPr>
                <w:rtl/>
              </w:rPr>
              <w:t xml:space="preserve">שכירת שרתים ייעודיים עם טלמטריית BMC (מדידת שקע והדגמת WP4)</w:t>
            </w:r>
          </w:p>
        </w:tc>
        <w:tc>
          <w:tcPr/>
          <w:p>
            <w:pPr>
              <w:pStyle w:val="Compact"/>
              <w:jc w:val="both"/>
            </w:pPr>
          </w:p>
        </w:tc>
        <w:tc>
          <w:tcPr/>
          <w:p>
            <w:pPr>
              <w:pStyle w:val="Compact"/>
              <w:bidi/>
              <w:jc w:val="both"/>
            </w:pPr>
            <w:r>
              <w:rPr>
                <w:rtl/>
              </w:rPr>
              <w:t xml:space="preserve">לפי מחירון ספק מצורף</w:t>
            </w:r>
          </w:p>
        </w:tc>
        <w:tc>
          <w:tcPr/>
          <w:p>
            <w:pPr>
              <w:pStyle w:val="Compact"/>
              <w:jc w:val="both"/>
            </w:pPr>
          </w:p>
        </w:tc>
        <w:tc>
          <w:tcPr/>
          <w:p>
            <w:pPr>
              <w:pStyle w:val="Compact"/>
              <w:jc w:val="both"/>
            </w:pPr>
          </w:p>
        </w:tc>
        <w:tc>
          <w:tcPr/>
          <w:p>
            <w:pPr>
              <w:pStyle w:val="Compact"/>
              <w:jc w:val="both"/>
            </w:pPr>
            <w:r>
              <w:t xml:space="preserve">2,600</w:t>
            </w:r>
          </w:p>
        </w:tc>
      </w:tr>
      <w:tr>
        <w:tc>
          <w:tcPr/>
          <w:p>
            <w:pPr>
              <w:pStyle w:val="Compact"/>
              <w:bidi/>
              <w:jc w:val="both"/>
            </w:pPr>
            <w:r>
              <w:rPr>
                <w:rtl/>
              </w:rPr>
              <w:t xml:space="preserve">סה"כ עלות שנתית לסעיף</w:t>
            </w:r>
          </w:p>
        </w:tc>
        <w:tc>
          <w:tcPr/>
          <w:p>
            <w:pPr>
              <w:pStyle w:val="Compact"/>
              <w:jc w:val="both"/>
            </w:pPr>
          </w:p>
        </w:tc>
        <w:tc>
          <w:tcPr/>
          <w:p>
            <w:pPr>
              <w:pStyle w:val="Compact"/>
              <w:jc w:val="both"/>
            </w:pPr>
          </w:p>
        </w:tc>
        <w:tc>
          <w:tcPr/>
          <w:p>
            <w:pPr>
              <w:pStyle w:val="Compact"/>
              <w:jc w:val="both"/>
            </w:pPr>
          </w:p>
        </w:tc>
        <w:tc>
          <w:tcPr/>
          <w:p>
            <w:pPr>
              <w:pStyle w:val="Compact"/>
              <w:jc w:val="both"/>
            </w:pPr>
          </w:p>
        </w:tc>
        <w:tc>
          <w:tcPr/>
          <w:p>
            <w:pPr>
              <w:pStyle w:val="Compact"/>
              <w:jc w:val="both"/>
            </w:pPr>
            <w:r>
              <w:t xml:space="preserve">19,664</w:t>
            </w:r>
          </w:p>
        </w:tc>
      </w:tr>
    </w:tbl>
    <w:p>
      <w:pPr>
        <w:jc w:val="both"/>
      </w:pP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bidiVisual/>
      </w:tblPr>
      <w:tblGrid>
        <w:gridCol w:w="3960"/>
        <w:gridCol w:w="3960"/>
      </w:tblGrid>
      <w:tr>
        <w:trPr>
          <w:tblHeader w:val="on"/>
        </w:trPr>
        <w:tc>
          <w:tcPr/>
          <w:p>
            <w:pPr>
              <w:pStyle w:val="Compact"/>
              <w:bidi/>
              <w:jc w:val="both"/>
            </w:pPr>
            <w:r>
              <w:rPr>
                <w:rtl/>
              </w:rPr>
              <w:t xml:space="preserve">המרה לשקלים</w:t>
            </w:r>
          </w:p>
        </w:tc>
        <w:tc>
          <w:tcPr/>
          <w:p>
            <w:pPr>
              <w:pStyle w:val="Compact"/>
              <w:bidi/>
              <w:jc w:val="both"/>
            </w:pPr>
            <w:r>
              <w:rPr>
                <w:rtl/>
              </w:rPr>
              <w:t xml:space="preserve">ערך</w:t>
            </w:r>
          </w:p>
        </w:tc>
      </w:tr>
      <w:tr>
        <w:tc>
          <w:tcPr/>
          <w:p>
            <w:pPr>
              <w:pStyle w:val="Compact"/>
              <w:bidi/>
              <w:jc w:val="both"/>
            </w:pPr>
            <w:r>
              <w:rPr>
                <w:rtl/>
              </w:rPr>
              <w:t xml:space="preserve">תקציב שנתי מבוקש לסעיף</w:t>
            </w:r>
          </w:p>
        </w:tc>
        <w:tc>
          <w:tcPr/>
          <w:p>
            <w:pPr>
              <w:pStyle w:val="Compact"/>
              <w:jc w:val="both"/>
            </w:pPr>
            <w:r>
              <w:t xml:space="preserve">74,000 ₪</w:t>
            </w:r>
          </w:p>
        </w:tc>
      </w:tr>
      <w:tr>
        <w:tc>
          <w:tcPr/>
          <w:p>
            <w:pPr>
              <w:pStyle w:val="Compact"/>
              <w:bidi/>
              <w:jc w:val="both"/>
            </w:pPr>
            <w:r>
              <w:rPr>
                <w:rtl/>
              </w:rPr>
              <w:t xml:space="preserve">שער תכנון שמרני USD/ILS</w:t>
            </w:r>
          </w:p>
        </w:tc>
        <w:tc>
          <w:tcPr/>
          <w:p>
            <w:pPr>
              <w:pStyle w:val="Compact"/>
              <w:jc w:val="both"/>
            </w:pPr>
            <w:r>
              <w:t xml:space="preserve">3.20</w:t>
            </w:r>
          </w:p>
        </w:tc>
      </w:tr>
      <w:tr>
        <w:tc>
          <w:tcPr/>
          <w:p>
            <w:pPr>
              <w:pStyle w:val="Compact"/>
              <w:bidi/>
              <w:jc w:val="both"/>
            </w:pPr>
            <w:r>
              <w:rPr>
                <w:rtl/>
              </w:rPr>
              <w:t xml:space="preserve">שווי בדולרים</w:t>
            </w:r>
          </w:p>
        </w:tc>
        <w:tc>
          <w:tcPr/>
          <w:p>
            <w:pPr>
              <w:pStyle w:val="Compact"/>
              <w:jc w:val="both"/>
            </w:pPr>
            <w:r>
              <w:t xml:space="preserve">23,125 $</w:t>
            </w:r>
          </w:p>
        </w:tc>
      </w:tr>
      <w:tr>
        <w:tc>
          <w:tcPr/>
          <w:p>
            <w:pPr>
              <w:pStyle w:val="Compact"/>
              <w:bidi/>
              <w:jc w:val="both"/>
            </w:pPr>
            <w:r>
              <w:rPr>
                <w:rtl/>
              </w:rPr>
              <w:t xml:space="preserve">עלות מתוכננת (ענן + שרתי BMC)</w:t>
            </w:r>
          </w:p>
        </w:tc>
        <w:tc>
          <w:tcPr/>
          <w:p>
            <w:pPr>
              <w:pStyle w:val="Compact"/>
              <w:jc w:val="both"/>
            </w:pPr>
            <w:r>
              <w:t xml:space="preserve">19,664 $</w:t>
            </w:r>
          </w:p>
        </w:tc>
      </w:tr>
      <w:tr>
        <w:tc>
          <w:tcPr/>
          <w:p>
            <w:pPr>
              <w:pStyle w:val="Compact"/>
              <w:bidi/>
              <w:jc w:val="both"/>
            </w:pPr>
            <w:r>
              <w:rPr>
                <w:rtl/>
              </w:rPr>
              <w:t xml:space="preserve">רזרבה לשינויי שער ולתעריפים</w:t>
            </w:r>
          </w:p>
        </w:tc>
        <w:tc>
          <w:tcPr/>
          <w:p>
            <w:pPr>
              <w:pStyle w:val="Compact"/>
              <w:jc w:val="both"/>
            </w:pPr>
            <w:r>
              <w:t xml:space="preserve">3,461 $ (15.0%)</w:t>
            </w:r>
          </w:p>
        </w:tc>
      </w:tr>
    </w:tbl>
    <w:p>
      <w:pPr>
        <w:pStyle w:val="BodyText"/>
        <w:bidi/>
        <w:jc w:val="both"/>
      </w:pPr>
      <w:r>
        <w:rPr>
          <w:rtl/>
        </w:rPr>
        <w:t xml:space="preserve">סעיף זה פטור מתקורה (§7.1). התשלום מבוצע כנגד חשבוניות (§6.4). תעריפי AWS נלקחו מנקודות הקצה הפומביות של מחירון AWS (on-demand ו-spot) ב-29.08.2026, ותדפיסים מתוארכים מצורפים;</w:t>
      </w:r>
      <w:r>
        <w:rPr>
          <w:rtl/>
        </w:rPr>
        <w:t xml:space="preserve"> </w:t>
      </w:r>
      <w:r>
        <w:rPr>
          <w:rtl/>
        </w:rPr>
        <w:t xml:space="preserve">תעריפי שרתי BMC לפי מחירון ספק מפורסם (תדפיס מצורף). שער החליפין נבדק (כ-2.96 ₪ לדולר) ולצורכי תכנון נעשה שימוש</w:t>
      </w:r>
      <w:r>
        <w:rPr>
          <w:rtl/>
        </w:rPr>
        <w:t xml:space="preserve"> </w:t>
      </w:r>
      <w:r>
        <w:rPr>
          <w:rtl/>
        </w:rPr>
        <w:t xml:space="preserve">בשער שמרני של 3.20 ₪ לדולר</w:t>
      </w:r>
    </w:p>
    <w:p>
      <w:pPr>
        <w:pStyle w:val="BodyText"/>
        <w:bidi/>
        <w:jc w:val="both"/>
      </w:pPr>
      <w:r>
        <w:rPr>
          <w:rtl/>
        </w:rPr>
        <w:t xml:space="preserve">המחירון המפורסם של הספק מהווה את הצעת המחיר לצורך §6.3, שכן מדובר בשירות עצמי (self-serve) עם תמחור פומבי ולא בהתקשרות</w:t>
      </w:r>
      <w:r>
        <w:rPr>
          <w:rtl/>
        </w:rPr>
        <w:t xml:space="preserve"> </w:t>
      </w:r>
      <w:r>
        <w:rPr>
          <w:rtl/>
        </w:rPr>
        <w:t xml:space="preserve">פרטנית. יש לצרף להגשה תדפיס של עמוד התמחור עם תאריך. הנימוק המקצועי לבחירה בענן על פני רכישת חומרה מופיע בסעיף</w:t>
      </w:r>
      <w:r>
        <w:rPr>
          <w:rtl/>
        </w:rPr>
        <w:t xml:space="preserve"> </w:t>
      </w:r>
      <w:r>
        <w:rPr>
          <w:rtl/>
        </w:rPr>
        <w:t xml:space="preserve">הציוד: כלל 33% לשנה על ציוד מחשוב הופך רכישת עשרה דורות מאיצים לבלתי אפשרית במסגרת תקציב זה, ואילו גיוון החומרה</w:t>
      </w:r>
      <w:r>
        <w:rPr>
          <w:rtl/>
        </w:rPr>
        <w:t xml:space="preserve"> </w:t>
      </w:r>
      <w:r>
        <w:rPr>
          <w:rtl/>
        </w:rPr>
        <w:t xml:space="preserve">הוא לב המחקר עצמו.</w:t>
      </w:r>
    </w:p>
    <w:bookmarkEnd w:id="84"/>
    <w:bookmarkStart w:id="85" w:name="תקורה"/>
    <w:p>
      <w:pPr>
        <w:pStyle w:val="Heading3"/>
        <w:bidi/>
        <w:jc w:val="right"/>
      </w:pPr>
      <w:r>
        <w:rPr>
          <w:rtl/>
        </w:rPr>
        <w:t xml:space="preserve">6. תקורה</w:t>
      </w:r>
    </w:p>
    <w:p>
      <w:pPr>
        <w:pStyle w:val="FirstParagraph"/>
        <w:bidi/>
        <w:jc w:val="both"/>
      </w:pPr>
      <w:r>
        <w:rPr>
          <w:rtl/>
        </w:rPr>
        <w:t xml:space="preserve">תקורה בשיעור 15% מהתמורה עבור הוצאות המחקר, למעט סעיף קבלני משנה, בהתאם ל-§7.1. התקורה מכסה הוצאות עקיפות</w:t>
      </w:r>
      <w:r>
        <w:rPr>
          <w:rtl/>
        </w:rPr>
        <w:t xml:space="preserve"> </w:t>
      </w:r>
      <w:r>
        <w:rPr>
          <w:rtl/>
        </w:rPr>
        <w:t xml:space="preserve">ובכללן שירותי מזכירות, ראיית חשבון, משאבי אנוש, תחזוקת חשבונות מחקר, ניהול המחקר, שימוש בספריות, גישה לשירותי</w:t>
      </w:r>
      <w:r>
        <w:rPr>
          <w:rtl/>
        </w:rPr>
        <w:t xml:space="preserve"> </w:t>
      </w:r>
      <w:r>
        <w:rPr>
          <w:rtl/>
        </w:rPr>
        <w:t xml:space="preserve">מחשב, שימוש במתקני מחקר ובמשרדים, ומים, אנרגיה ולוגיסטיקה. הוצאות אלה אינן נרשמות בנפרד במפרט (§7.3).</w:t>
      </w:r>
    </w:p>
    <w:p>
      <w:pPr>
        <w:pStyle w:val="BodyText"/>
        <w:bidi/>
        <w:jc w:val="both"/>
      </w:pPr>
      <w:r>
        <w:rPr>
          <w:rtl/>
        </w:rPr>
        <w:t xml:space="preserve">שיעור התקורה במכון הטכנולוגי חולון עומד על 15%, הזהה לתקרה שקובע הקול הקורא, ולכן התקציב לעיל משקף את התקורה</w:t>
      </w:r>
      <w:r>
        <w:rPr>
          <w:rtl/>
        </w:rPr>
        <w:t xml:space="preserve"> </w:t>
      </w:r>
      <w:r>
        <w:rPr>
          <w:rtl/>
        </w:rPr>
        <w:t xml:space="preserve">המוסדית בפועל ואין צורך בהתאמה.</w:t>
      </w:r>
    </w:p>
    <w:bookmarkEnd w:id="85"/>
    <w:bookmarkEnd w:id="86"/>
    <w:bookmarkStart w:id="87" w:name="הצהרות-נדרשות"/>
    <w:p>
      <w:pPr>
        <w:pStyle w:val="Heading2"/>
        <w:pBdr>
          <w:bottom w:val="single" w:sz="6" w:space="2" w:color="C8C8C8"/>
        </w:pBdr>
        <w:bidi/>
        <w:jc w:val="right"/>
      </w:pPr>
      <w:r>
        <w:rPr>
          <w:rtl/>
        </w:rPr>
        <w:t xml:space="preserve">הצהרות נדרשות</w:t>
      </w:r>
    </w:p>
    <w:p>
      <w:pPr>
        <w:pStyle w:val="Compact"/>
        <w:numPr>
          <w:ilvl w:val="0"/>
          <w:numId w:val="1005"/>
        </w:numPr>
        <w:bidi/>
        <w:jc w:val="both"/>
      </w:pPr>
      <w:r>
        <w:rPr>
          <w:rtl/>
        </w:rPr>
        <w:t xml:space="preserve">המוסד לא קיבל ולא יקבל מימון נוסף או משלים לביצוע המחקר או עבור המועסקים בו מכל גוף שאינו המשרד (§1.5.2).</w:t>
      </w:r>
    </w:p>
    <w:p>
      <w:pPr>
        <w:pStyle w:val="Compact"/>
        <w:numPr>
          <w:ilvl w:val="0"/>
          <w:numId w:val="1005"/>
        </w:numPr>
        <w:bidi/>
        <w:jc w:val="both"/>
      </w:pPr>
      <w:r>
        <w:rPr>
          <w:rtl/>
        </w:rPr>
        <w:t xml:space="preserve">לא יתקיים כפל מימון לסטודנטים המועסקים במחקר מכל גורם ממשלתי אחר (§2.10).</w:t>
      </w:r>
    </w:p>
    <w:p>
      <w:pPr>
        <w:pStyle w:val="Compact"/>
        <w:numPr>
          <w:ilvl w:val="0"/>
          <w:numId w:val="1005"/>
        </w:numPr>
        <w:bidi/>
        <w:jc w:val="both"/>
      </w:pPr>
      <w:r>
        <w:rPr>
          <w:rtl/>
        </w:rPr>
        <w:t xml:space="preserve">עלות הכנת ההצעה חלה על המבקש בלבד (§1.5.3).</w:t>
      </w:r>
    </w:p>
    <w:bookmarkEnd w:id="87"/>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62" Type="http://schemas.openxmlformats.org/officeDocument/2006/relationships/image" Target="media/rId62.png"/><Relationship Id="rId23" Type="http://schemas.openxmlformats.org/officeDocument/2006/relationships/hyperlink" Target="Apartsin-CV.pdf" TargetMode="External"/><Relationship Id="rId26" Type="http://schemas.openxmlformats.org/officeDocument/2006/relationships/hyperlink" Target="JouleFlex-budget-2026-09-06.pdf" TargetMode="External"/><Relationship Id="rId27" Type="http://schemas.openxmlformats.org/officeDocument/2006/relationships/hyperlink" Target="JouleFlex-budget-2026-09-06.xlsx" TargetMode="External"/><Relationship Id="rId28" Type="http://schemas.openxmlformats.org/officeDocument/2006/relationships/hyperlink" Target="JouleFlex-price-quotes.pdf" TargetMode="External"/><Relationship Id="rId21" Type="http://schemas.openxmlformats.org/officeDocument/2006/relationships/hyperlink" Target="JouleFlex-proposal-2026-09-06.docx" TargetMode="External"/><Relationship Id="rId20" Type="http://schemas.openxmlformats.org/officeDocument/2006/relationships/hyperlink" Target="JouleFlex-submission-2026-09-06.pdf" TargetMode="External"/><Relationship Id="rId22" Type="http://schemas.openxmlformats.org/officeDocument/2006/relationships/hyperlink" Target="cv.html" TargetMode="External"/><Relationship Id="rId24" Type="http://schemas.openxmlformats.org/officeDocument/2006/relationships/hyperlink" Target="form-guide.html" TargetMode="External"/><Relationship Id="rId25" Type="http://schemas.openxmlformats.org/officeDocument/2006/relationships/hyperlink" Target="form-guide.pdf" TargetMode="External"/><Relationship Id="rId58" Type="http://schemas.openxmlformats.org/officeDocument/2006/relationships/hyperlink" Target="https://doi.org/10.1038/s41560-025-01927-1" TargetMode="External"/><Relationship Id="rId59" Type="http://schemas.openxmlformats.org/officeDocument/2006/relationships/hyperlink" Target="https://doi.org/10.1109/JSTARS.2013.2295324" TargetMode="External"/><Relationship Id="rId57" Type="http://schemas.openxmlformats.org/officeDocument/2006/relationships/hyperlink" Target="https://doi.org/10.1145/3754598.3754670" TargetMode="External"/><Relationship Id="rId29" Type="http://schemas.openxmlformats.org/officeDocument/2006/relationships/hyperlink" Target="https://doi.org/10.13140/RG.2.2.20385.36964" TargetMode="External"/><Relationship Id="rId60" Type="http://schemas.openxmlformats.org/officeDocument/2006/relationships/hyperlink" Target="https://doi.org/10.3390/electronics15102149"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artsin-CV.pdf" TargetMode="External"/><Relationship Id="rId26" Type="http://schemas.openxmlformats.org/officeDocument/2006/relationships/hyperlink" Target="JouleFlex-budget-2026-09-06.pdf" TargetMode="External"/><Relationship Id="rId27" Type="http://schemas.openxmlformats.org/officeDocument/2006/relationships/hyperlink" Target="JouleFlex-budget-2026-09-06.xlsx" TargetMode="External"/><Relationship Id="rId28" Type="http://schemas.openxmlformats.org/officeDocument/2006/relationships/hyperlink" Target="JouleFlex-price-quotes.pdf" TargetMode="External"/><Relationship Id="rId21" Type="http://schemas.openxmlformats.org/officeDocument/2006/relationships/hyperlink" Target="JouleFlex-proposal-2026-09-06.docx" TargetMode="External"/><Relationship Id="rId20" Type="http://schemas.openxmlformats.org/officeDocument/2006/relationships/hyperlink" Target="JouleFlex-submission-2026-09-06.pdf" TargetMode="External"/><Relationship Id="rId22" Type="http://schemas.openxmlformats.org/officeDocument/2006/relationships/hyperlink" Target="cv.html" TargetMode="External"/><Relationship Id="rId24" Type="http://schemas.openxmlformats.org/officeDocument/2006/relationships/hyperlink" Target="form-guide.html" TargetMode="External"/><Relationship Id="rId25" Type="http://schemas.openxmlformats.org/officeDocument/2006/relationships/hyperlink" Target="form-guide.pdf" TargetMode="External"/><Relationship Id="rId58" Type="http://schemas.openxmlformats.org/officeDocument/2006/relationships/hyperlink" Target="https://doi.org/10.1038/s41560-025-01927-1" TargetMode="External"/><Relationship Id="rId59" Type="http://schemas.openxmlformats.org/officeDocument/2006/relationships/hyperlink" Target="https://doi.org/10.1109/JSTARS.2013.2295324" TargetMode="External"/><Relationship Id="rId57" Type="http://schemas.openxmlformats.org/officeDocument/2006/relationships/hyperlink" Target="https://doi.org/10.1145/3754598.3754670" TargetMode="External"/><Relationship Id="rId29" Type="http://schemas.openxmlformats.org/officeDocument/2006/relationships/hyperlink" Target="https://doi.org/10.13140/RG.2.2.20385.36964" TargetMode="External"/><Relationship Id="rId60"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2026-09-12T06:45:50Z</dcterms:created>
  <dcterms:modified xsi:type="dcterms:W3CDTF">2026-09-12T06:45:50Z</dcterms:modified>
</cp:coreProperties>
</file>

<file path=docProps/custom.xml><?xml version="1.0" encoding="utf-8"?>
<Properties xmlns="http://schemas.openxmlformats.org/officeDocument/2006/custom-properties" xmlns:vt="http://schemas.openxmlformats.org/officeDocument/2006/docPropsVTypes"/>
</file>