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bidi/>
        <w:jc w:val="right"/>
      </w:pPr>
      <w:r>
        <w:rPr>
          <w:rtl/>
        </w:rPr>
        <w:t xml:space="preserve">2.5.2 Abstract / תקציר</w:t>
      </w:r>
    </w:p>
    <w:bookmarkStart w:id="22" w:name="english-300300-words"/>
    <w:p>
      <w:pPr>
        <w:pStyle w:val="Heading3"/>
      </w:pPr>
      <w:r>
        <w:t xml:space="preserve">English (300/300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jc w:val="both"/>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Pr>
      <w:r>
        <w:t xml:space="preserve">2.5.3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25"/>
    <w:bookmarkStart w:id="28" w:name="objectives-of-the-program"/>
    <w:p>
      <w:pPr>
        <w:pStyle w:val="Heading2"/>
      </w:pPr>
      <w:r>
        <w:t xml:space="preserve">2.5.4 Objectives of the program</w:t>
      </w:r>
    </w:p>
    <w:bookmarkStart w:id="26" w:name="the-objective"/>
    <w:p>
      <w:pPr>
        <w:pStyle w:val="Heading3"/>
      </w:pPr>
      <w:r>
        <w:t xml:space="preserve">2.5.4.1 The objective</w:t>
      </w:r>
    </w:p>
    <w:p>
      <w:pPr>
        <w:pStyle w:val="FirstParagraph"/>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jc w:val="bot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jc w:val="both"/>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jc w:val="both"/>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Pr>
      <w:r>
        <w:t xml:space="preserve">2.5.5 The proposed research</w:t>
      </w:r>
    </w:p>
    <w:bookmarkStart w:id="2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jc w:val="both"/>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jc w:val="both"/>
      </w:pPr>
      <w:r>
        <w:t xml:space="preserve">P(θ) = P₀ + a·θ^β,   median R² =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jc w:val="bot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jc w:val="bot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power shaping manages a server farm's energy supply in real time; the flexibility framework tells planners how much a farm needs.</w:t>
            </w:r>
          </w:p>
        </w:tc>
      </w:tr>
      <w:tr>
        <w:tc>
          <w:tcPr/>
          <w:p>
            <w:pPr>
              <w:pStyle w:val="Compact"/>
              <w:bidi/>
              <w:jc w:val="both"/>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both"/>
            </w:pPr>
            <w:r>
              <w:t xml:space="preserve">A facility following a power envelope on instruction, at ~0.2-second actuation, is a demand-response resource of grid-relevant size.</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29–31 percent less energy per AI task at the card, 18–45 percent less per served job at the fleet,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both"/>
            </w:pPr>
            <w:r>
              <w:t xml:space="preserve">AI compute is the subject, learned models and control the instruments, an energy-system tool the deliverable.</w:t>
            </w:r>
          </w:p>
        </w:tc>
      </w:tr>
      <w:tr>
        <w:tc>
          <w:tcPr/>
          <w:p>
            <w:pPr>
              <w:pStyle w:val="Compact"/>
              <w:bidi/>
              <w:jc w:val="both"/>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both"/>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below the measured 0.99 median [1], or deviation documented;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both"/>
            </w:pPr>
            <w:r>
              <w:t xml:space="preserve">M16–M21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Out-of-band PSU telemetry (BMC/IPMI/Redfish)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bidi/>
        <w:jc w:val="both"/>
      </w:pPr>
      <w:r>
        <w:rPr>
          <w:b/>
          <w:bCs/>
          <w:rtl/>
        </w:rPr>
        <w:t xml:space="preserve">Fit of expertise to the proposed work.</w:t>
      </w:r>
      <w:r>
        <w:rPr>
          <w:rtl/>
        </w:rPr>
        <w:t xml:space="preserve"> </w:t>
      </w:r>
      <w:r>
        <w:rPr>
          <w:rtl/>
        </w:rPr>
        <w:t xml:space="preserve">The scientific foundation is the PI's own study [1]: the ELF dataset, the law, the JP, the cost identity, the fleet saving. The work plan maps onto that record across all five packages, and the harness, models and simulation are built and validated. The Israel scenario runs on public Noga and Electricity Authority data, needing no external partner.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r>
        <w:rPr>
          <w:rtl/>
        </w:rPr>
        <w:t xml:space="preserve"> </w:t>
      </w: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power-systems specialist. Recruitment runs through HIT and national postdoctoral channels; if the month-1 start slips the PI runs the WP1 measurement bench directly (the ELF harness is his) and WP2 modeling re-sequences ahead of new sweeps, so the minimum-success path holds. An unpaid academic advisor in energy-market analysis (to be named) will review the WP5 techno-economic work.</w:t>
      </w:r>
    </w:p>
    <w:p>
      <w:pPr>
        <w:pStyle w:val="BodyText"/>
        <w:jc w:val="both"/>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Pr>
      <w:r>
        <w:t xml:space="preserve">2.5.9 Funding</w:t>
      </w:r>
    </w:p>
    <w:p>
      <w:pPr>
        <w:pStyle w:val="FirstParagraph"/>
        <w:bidi/>
        <w:jc w:val="both"/>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1" w:name="X5d5bc83c2eef3c669b01ea2354df53c4eb22d2f"/>
    <w:p>
      <w:pPr>
        <w:pStyle w:val="Heading2"/>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CaptionedFigure"/>
        <w:jc w:val="both"/>
      </w:pPr>
      <w:r>
        <w:drawing>
          <wp:inline>
            <wp:extent cx="5334000" cy="1694033"/>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334000" cy="1694033"/>
                    </a:xfrm>
                    <a:prstGeom prst="rect">
                      <a:avLst/>
                    </a:prstGeom>
                    <a:noFill/>
                    <a:ln w="9525">
                      <a:noFill/>
                      <a:headEnd/>
                      <a:tailEnd/>
                    </a:ln>
                  </pic:spPr>
                </pic:pic>
              </a:graphicData>
            </a:graphic>
          </wp:inline>
        </w:drawing>
      </w:r>
    </w:p>
    <w:p>
      <w:pPr>
        <w:pStyle w:val="ImageCaption"/>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 P(θ) = P₀ + a·θ^β (pooled</w:t>
      </w:r>
      <w:r>
        <w:t xml:space="preserve"> </w:t>
      </w:r>
      <w:r>
        <w:t xml:space="preserve">per-card R² 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CaptionedFigure"/>
        <w:jc w:val="both"/>
      </w:pPr>
      <w:r>
        <w:drawing>
          <wp:inline>
            <wp:extent cx="5334000" cy="3681564"/>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334000" cy="3681564"/>
                    </a:xfrm>
                    <a:prstGeom prst="rect">
                      <a:avLst/>
                    </a:prstGeom>
                    <a:noFill/>
                    <a:ln w="9525">
                      <a:noFill/>
                      <a:headEnd/>
                      <a:tailEnd/>
                    </a:ln>
                  </pic:spPr>
                </pic:pic>
              </a:graphicData>
            </a:graphic>
          </wp:inline>
        </w:drawing>
      </w:r>
    </w:p>
    <w:p>
      <w:pPr>
        <w:pStyle w:val="ImageCaption"/>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CaptionedFigure"/>
        <w:jc w:val="both"/>
      </w:pPr>
      <w:r>
        <w:drawing>
          <wp:inline>
            <wp:extent cx="5334000" cy="3476837"/>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334000" cy="3476837"/>
                    </a:xfrm>
                    <a:prstGeom prst="rect">
                      <a:avLst/>
                    </a:prstGeom>
                    <a:noFill/>
                    <a:ln w="9525">
                      <a:noFill/>
                      <a:headEnd/>
                      <a:tailEnd/>
                    </a:ln>
                  </pic:spPr>
                </pic:pic>
              </a:graphicData>
            </a:graphic>
          </wp:inline>
        </w:drawing>
      </w:r>
    </w:p>
    <w:p>
      <w:pPr>
        <w:pStyle w:val="ImageCaption"/>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tbl>
      <w:tblPr>
        <w:tblStyle w:val="FigureTable"/>
        <w:tblW w:type="auto" w:w="0"/>
        <w:jc w:val="center"/>
        <w:tblLook w:firstRow="0" w:lastRow="0" w:firstColumn="0" w:lastColumn="0"/>
      </w:tblPr>
      <w:tblGrid>
        <w:gridCol w:w="2640"/>
        <w:gridCol w:w="2640"/>
        <w:gridCol w:w="2640"/>
      </w:tblGrid>
      <w:tr>
        <w:tc>
          <w:tcPr/>
          <w:p>
            <w:pPr>
              <w:pStyle w:val="Heading2"/>
              <w:jc w:val="center"/>
            </w:pPr>
            <w:bookmarkStart w:id="60" w:name="Xb70b95b8b38ded80618834689cadeac3dd55d32"/>
            <w:r>
              <w:t xml:space="preserve">Table A1. The five deliverables: what each is, who uses it</w:t>
            </w:r>
            <w:bookmarkEnd w:id="60"/>
          </w:p>
        </w:tc>
        <w:tc>
          <w:tcPr/>
          <w:p>
            <w:pPr>
              <w:jc w:val="both"/>
            </w:pPr>
            <w:r>
              <w:t xml:space="preserve">The project delivers five named artifacts, each with a defined user and use: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Deliverable</w:t>
                  </w:r>
                </w:p>
              </w:tc>
              <w:tc>
                <w:tcPr/>
                <w:p>
                  <w:pPr>
                    <w:pStyle w:val="Compact"/>
                    <w:jc w:val="left"/>
                    <w:jc w:val="center"/>
                  </w:pPr>
                  <w:r>
                    <w:t xml:space="preserve">What it is</w:t>
                  </w:r>
                </w:p>
              </w:tc>
              <w:tc>
                <w:tcPr/>
                <w:p>
                  <w:pPr>
                    <w:pStyle w:val="Compact"/>
                    <w:jc w:val="left"/>
                    <w:jc w:val="center"/>
                  </w:pPr>
                  <w:r>
                    <w:t xml:space="preserve">Who uses it, for what</w:t>
                  </w:r>
                </w:p>
              </w:tc>
            </w:tr>
            <w:tr>
              <w:tc>
                <w:tcPr/>
                <w:p>
                  <w:pPr>
                    <w:pStyle w:val="Compact"/>
                    <w:jc w:val="left"/>
                    <w:jc w:val="center"/>
                  </w:pPr>
                  <w:r>
                    <w:rPr>
                      <w:b/>
                      <w:bCs/>
                    </w:rPr>
                    <w:t xml:space="preserve">ELF-2</w:t>
                  </w:r>
                </w:p>
              </w:tc>
              <w:tc>
                <w:tcPr/>
                <w:p>
                  <w:pPr>
                    <w:pStyle w:val="Compact"/>
                    <w:jc w:val="left"/>
                    <w:jc w:val="center"/>
                  </w:pPr>
                  <w:r>
                    <w:t xml:space="preserve">An open dataset: power, throughput and latency at every operating point, board to wall, on current GPUs and production serving software</w:t>
                  </w:r>
                </w:p>
              </w:tc>
              <w:tc>
                <w:tcPr/>
                <w:p>
                  <w:pPr>
                    <w:pStyle w:val="Compact"/>
                    <w:jc w:val="left"/>
                    <w:jc w:val="center"/>
                  </w:pPr>
                  <w:r>
                    <w:t xml:space="preserve">Researchers and vendors, as ground truth; every other deliverable is built and validated on it</w:t>
                  </w:r>
                </w:p>
              </w:tc>
            </w:tr>
            <w:tr>
              <w:tc>
                <w:tcPr/>
                <w:p>
                  <w:pPr>
                    <w:pStyle w:val="Compact"/>
                    <w:jc w:val="left"/>
                    <w:jc w:val="center"/>
                  </w:pPr>
                  <w:r>
                    <w:rPr>
                      <w:b/>
                      <w:bCs/>
                    </w:rPr>
                    <w:t xml:space="preserve">The characterization kit</w:t>
                  </w:r>
                </w:p>
              </w:tc>
              <w:tc>
                <w:tcPr/>
                <w:p>
                  <w:pPr>
                    <w:pStyle w:val="Compact"/>
                    <w:jc w:val="left"/>
                    <w:jc w:val="center"/>
                  </w:pPr>
                  <w:r>
                    <w:t xml:space="preserve">Software plus protocol: a one-test procedure and the two fitted models placing the JP of a new or unmeasured card within the validated hardware domain, in hours</w:t>
                  </w:r>
                </w:p>
              </w:tc>
              <w:tc>
                <w:tcPr/>
                <w:p>
                  <w:pPr>
                    <w:pStyle w:val="Compact"/>
                    <w:jc w:val="left"/>
                    <w:jc w:val="center"/>
                  </w:pPr>
                  <w:r>
                    <w:t xml:space="preserve">A GPU engineer or operator qualifying a new card model or a new serving stack before deployment, at known cost</w:t>
                  </w:r>
                </w:p>
              </w:tc>
            </w:tr>
            <w:tr>
              <w:tc>
                <w:tcPr/>
                <w:p>
                  <w:pPr>
                    <w:pStyle w:val="Compact"/>
                    <w:jc w:val="left"/>
                    <w:jc w:val="center"/>
                  </w:pPr>
                  <w:r>
                    <w:rPr>
                      <w:b/>
                      <w:bCs/>
                    </w:rPr>
                    <w:t xml:space="preserve">The control engine</w:t>
                  </w:r>
                </w:p>
              </w:tc>
              <w:tc>
                <w:tcPr/>
                <w:p>
                  <w:pPr>
                    <w:pStyle w:val="Compact"/>
                    <w:jc w:val="left"/>
                    <w:jc w:val="center"/>
                  </w:pPr>
                  <w:r>
                    <w:t xml:space="preserve">An open-source control engine that assigns jobs and sets caps to keep a fleet inside its envelope, evaluated in the twin and demonstrated on a metered rented server before any deployment</w:t>
                  </w:r>
                </w:p>
              </w:tc>
              <w:tc>
                <w:tcPr/>
                <w:p>
                  <w:pPr>
                    <w:pStyle w:val="Compact"/>
                    <w:jc w:val="left"/>
                    <w:jc w:val="center"/>
                  </w:pPr>
                  <w:r>
                    <w:t xml:space="preserve">An AI data-center manager, to cut energy per job and honor a committed envelope; its report doubles as the compliance record</w:t>
                  </w:r>
                </w:p>
              </w:tc>
            </w:tr>
            <w:tr>
              <w:tc>
                <w:tcPr/>
                <w:p>
                  <w:pPr>
                    <w:pStyle w:val="Compact"/>
                    <w:jc w:val="left"/>
                    <w:jc w:val="center"/>
                  </w:pPr>
                  <w:r>
                    <w:rPr>
                      <w:b/>
                      <w:bCs/>
                    </w:rPr>
                    <w:t xml:space="preserve">The digital twin</w:t>
                  </w:r>
                </w:p>
              </w:tc>
              <w:tc>
                <w:tcPr/>
                <w:p>
                  <w:pPr>
                    <w:pStyle w:val="Compact"/>
                    <w:jc w:val="left"/>
                    <w:jc w:val="center"/>
                  </w:pPr>
                  <w:r>
                    <w:t xml:space="preserve">A simulator replaying the measured curves of a described fleet and job mix, evaluating any policy or envelope scenario exactly before hardware is touched</w:t>
                  </w:r>
                </w:p>
              </w:tc>
              <w:tc>
                <w:tcPr/>
                <w:p>
                  <w:pPr>
                    <w:pStyle w:val="Compact"/>
                    <w:jc w:val="left"/>
                    <w:jc w:val="center"/>
                  </w:pPr>
                  <w:r>
                    <w:t xml:space="preserve">An operator testing policies before deployment; a planner or regulator asking what a proposed facility could deliver and shed under a given connection</w:t>
                  </w:r>
                </w:p>
              </w:tc>
            </w:tr>
            <w:tr>
              <w:tc>
                <w:tcPr/>
                <w:p>
                  <w:pPr>
                    <w:pStyle w:val="Compact"/>
                    <w:jc w:val="left"/>
                    <w:jc w:val="center"/>
                  </w:pPr>
                  <w:r>
                    <w:rPr>
                      <w:b/>
                      <w:bCs/>
                    </w:rPr>
                    <w:t xml:space="preserve">The grid interface and policy report</w:t>
                  </w:r>
                </w:p>
              </w:tc>
              <w:tc>
                <w:tcPr/>
                <w:p>
                  <w:pPr>
                    <w:pStyle w:val="Compact"/>
                    <w:jc w:val="left"/>
                    <w:jc w:val="center"/>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left"/>
                    <w:jc w:val="center"/>
                  </w:pPr>
                  <w:r>
                    <w:t xml:space="preserve">The Electricity Authority and Noga, as the technical basis for offering conditional connections and auditing compliance</w:t>
                  </w:r>
                </w:p>
              </w:tc>
            </w:tr>
          </w:tbl>
          <w:p>
            <w:pPr>
              <w:jc w:val="both"/>
            </w:pPr>
          </w:p>
        </w:tc>
      </w:tr>
    </w:tbl>
    <w:p>
      <w:pPr>
        <w:pStyle w:val="ImageCaption"/>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2026-09-06T10:14:50Z</dcterms:created>
  <dcterms:modified xsi:type="dcterms:W3CDTF">2026-09-06T10:14:50Z</dcterms:modified>
</cp:coreProperties>
</file>

<file path=docProps/custom.xml><?xml version="1.0" encoding="utf-8"?>
<Properties xmlns="http://schemas.openxmlformats.org/officeDocument/2006/custom-properties" xmlns:vt="http://schemas.openxmlformats.org/officeDocument/2006/docPropsVTypes"/>
</file>