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Bdr>
          <w:bottom w:val="single" w:sz="6" w:space="2" w:color="C8C8C8"/>
        </w:pBdr>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pBdr>
          <w:bottom w:val="single" w:sz="6" w:space="2" w:color="C8C8C8"/>
        </w:pBdr>
        <w:bidi/>
        <w:jc w:val="right"/>
      </w:pPr>
      <w:r>
        <w:rPr>
          <w:rtl/>
        </w:rPr>
        <w:t xml:space="preserve">2.5.2 Abstract / תקציר</w:t>
      </w:r>
    </w:p>
    <w:bookmarkStart w:id="22" w:name="english-300300-words"/>
    <w:p>
      <w:pPr>
        <w:pStyle w:val="Heading3"/>
      </w:pPr>
      <w:r>
        <w:t xml:space="preserve">English (300/300 words)</w:t>
      </w:r>
    </w:p>
    <w:p>
      <w:pPr>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jc w:val="both"/>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Bdr>
          <w:bottom w:val="single" w:sz="6" w:space="2" w:color="C8C8C8"/>
        </w:pBdr>
      </w:pPr>
      <w: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Term</w:t>
            </w:r>
          </w:p>
        </w:tc>
        <w:tc>
          <w:tcPr/>
          <w:p>
            <w:pPr>
              <w:pStyle w:val="Compact"/>
              <w:jc w:val="both"/>
            </w:pPr>
            <w:r>
              <w:t xml:space="preserve">Meaning</w:t>
            </w:r>
          </w:p>
        </w:tc>
      </w:tr>
      <w:tr>
        <w:tc>
          <w:tcPr/>
          <w:p>
            <w:pPr>
              <w:pStyle w:val="Compact"/>
              <w:jc w:val="both"/>
            </w:pPr>
            <w:r>
              <w:t xml:space="preserve">Power</w:t>
            </w:r>
          </w:p>
        </w:tc>
        <w:tc>
          <w:tcPr/>
          <w:p>
            <w:pPr>
              <w:pStyle w:val="Compact"/>
              <w:jc w:val="both"/>
            </w:pPr>
            <w:r>
              <w:t xml:space="preserve">How fast electricity is drawn at a given moment; watts (W) or megawatts (MW). The grid connection is sized by peak power.</w:t>
            </w:r>
          </w:p>
        </w:tc>
      </w:tr>
      <w:tr>
        <w:tc>
          <w:tcPr/>
          <w:p>
            <w:pPr>
              <w:pStyle w:val="Compact"/>
              <w:jc w:val="both"/>
            </w:pPr>
            <w:r>
              <w:t xml:space="preserve">Energy</w:t>
            </w:r>
          </w:p>
        </w:tc>
        <w:tc>
          <w:tcPr/>
          <w:p>
            <w:pPr>
              <w:pStyle w:val="Compact"/>
              <w:jc w:val="both"/>
            </w:pPr>
            <w:r>
              <w:t xml:space="preserve">The total electricity consumed: power × time; joules or kilowatt-hours. The bill and the carbon footprint are set by energy.</w:t>
            </w:r>
          </w:p>
        </w:tc>
      </w:tr>
      <w:tr>
        <w:tc>
          <w:tcPr/>
          <w:p>
            <w:pPr>
              <w:pStyle w:val="Compact"/>
              <w:jc w:val="both"/>
            </w:pPr>
            <w:r>
              <w:t xml:space="preserve">Power cap</w:t>
            </w:r>
          </w:p>
        </w:tc>
        <w:tc>
          <w:tcPr/>
          <w:p>
            <w:pPr>
              <w:pStyle w:val="Compact"/>
              <w:jc w:val="both"/>
            </w:pPr>
            <w:r>
              <w:t xml:space="preserve">A software limit on a GPU's power draw. Set with one command; takes effect in ~0.2 seconds. The control knob of this project.</w:t>
            </w:r>
          </w:p>
        </w:tc>
      </w:tr>
      <w:tr>
        <w:tc>
          <w:tcPr/>
          <w:p>
            <w:pPr>
              <w:pStyle w:val="Compact"/>
              <w:jc w:val="both"/>
            </w:pPr>
            <w:r>
              <w:t xml:space="preserve">TDP</w:t>
            </w:r>
          </w:p>
        </w:tc>
        <w:tc>
          <w:tcPr/>
          <w:p>
            <w:pPr>
              <w:pStyle w:val="Compact"/>
              <w:jc w:val="both"/>
            </w:pPr>
            <w:r>
              <w:t xml:space="preserve">A GPU's full rated power. Running at TDP is today's default.</w:t>
            </w:r>
          </w:p>
        </w:tc>
      </w:tr>
      <w:tr>
        <w:tc>
          <w:tcPr/>
          <w:p>
            <w:pPr>
              <w:pStyle w:val="Compact"/>
              <w:jc w:val="both"/>
            </w:pPr>
            <w:r>
              <w:t xml:space="preserve">Joule Point (JP)</w:t>
            </w:r>
          </w:p>
        </w:tc>
        <w:tc>
          <w:tcPr/>
          <w:p>
            <w:pPr>
              <w:pStyle w:val="Compact"/>
              <w:jc w:val="both"/>
            </w:pPr>
            <w:r>
              <w:t xml:space="preserve">The power cap at which energy per task is lowest for a given card; measured at 43–46% of TDP on large GPUs.</w:t>
            </w:r>
          </w:p>
        </w:tc>
      </w:tr>
      <w:tr>
        <w:tc>
          <w:tcPr/>
          <w:p>
            <w:pPr>
              <w:pStyle w:val="Compact"/>
              <w:jc w:val="both"/>
            </w:pPr>
            <w:r>
              <w:t xml:space="preserve">Operating point</w:t>
            </w:r>
          </w:p>
        </w:tc>
        <w:tc>
          <w:tcPr/>
          <w:p>
            <w:pPr>
              <w:pStyle w:val="Compact"/>
              <w:jc w:val="both"/>
            </w:pPr>
            <w:r>
              <w:t xml:space="preserve">The pair (GPU, power cap) a job runs at.</w:t>
            </w:r>
          </w:p>
        </w:tc>
      </w:tr>
      <w:tr>
        <w:tc>
          <w:tcPr/>
          <w:p>
            <w:pPr>
              <w:pStyle w:val="Compact"/>
              <w:jc w:val="both"/>
            </w:pPr>
            <w:r>
              <w:t xml:space="preserve">Power envelope</w:t>
            </w:r>
          </w:p>
        </w:tc>
        <w:tc>
          <w:tcPr/>
          <w:p>
            <w:pPr>
              <w:pStyle w:val="Compact"/>
              <w:jc w:val="both"/>
            </w:pPr>
            <w:r>
              <w:t xml:space="preserve">A limit on a facility's total power draw that can change over time, set by a budget, a price or carbon signal, or a grid instruction.</w:t>
            </w:r>
          </w:p>
        </w:tc>
      </w:tr>
      <w:tr>
        <w:tc>
          <w:tcPr/>
          <w:p>
            <w:pPr>
              <w:pStyle w:val="Compact"/>
              <w:jc w:val="both"/>
            </w:pPr>
            <w:r>
              <w:t xml:space="preserve">Power shaping</w:t>
            </w:r>
          </w:p>
        </w:tc>
        <w:tc>
          <w:tcPr/>
          <w:p>
            <w:pPr>
              <w:pStyle w:val="Compact"/>
              <w:jc w:val="both"/>
            </w:pPr>
            <w:r>
              <w:t xml:space="preserve">Keeping a fleet inside a power envelope by capping jobs, like traffic shaping in networks.</w:t>
            </w:r>
          </w:p>
        </w:tc>
      </w:tr>
      <w:tr>
        <w:tc>
          <w:tcPr/>
          <w:p>
            <w:pPr>
              <w:pStyle w:val="Compact"/>
              <w:jc w:val="both"/>
            </w:pPr>
            <w:r>
              <w:t xml:space="preserve">ELF</w:t>
            </w:r>
          </w:p>
        </w:tc>
        <w:tc>
          <w:tcPr/>
          <w:p>
            <w:pPr>
              <w:pStyle w:val="Compact"/>
              <w:jc w:val="both"/>
            </w:pPr>
            <w:r>
              <w:t xml:space="preserve">Our released dataset: dense power-cap sweeps of 20 AI models on 4 GPUs, ~5,500 measured rows.</w:t>
            </w:r>
          </w:p>
        </w:tc>
      </w:tr>
      <w:tr>
        <w:tc>
          <w:tcPr/>
          <w:p>
            <w:pPr>
              <w:pStyle w:val="Compact"/>
              <w:jc w:val="both"/>
            </w:pPr>
            <w:r>
              <w:t xml:space="preserve">SLO</w:t>
            </w:r>
          </w:p>
        </w:tc>
        <w:tc>
          <w:tcPr/>
          <w:p>
            <w:pPr>
              <w:pStyle w:val="Compact"/>
              <w:jc w:val="both"/>
            </w:pPr>
            <w:r>
              <w:t xml:space="preserve">Service level objective: the deadline or latency a job must meet.</w:t>
            </w:r>
          </w:p>
        </w:tc>
      </w:tr>
      <w:tr>
        <w:tc>
          <w:tcPr/>
          <w:p>
            <w:pPr>
              <w:pStyle w:val="Compact"/>
              <w:jc w:val="both"/>
            </w:pPr>
            <w:r>
              <w:t xml:space="preserve">Firm / flexible capacity</w:t>
            </w:r>
          </w:p>
        </w:tc>
        <w:tc>
          <w:tcPr/>
          <w:p>
            <w:pPr>
              <w:pStyle w:val="Compact"/>
              <w:jc w:val="both"/>
            </w:pPr>
            <w:r>
              <w:t xml:space="preserve">Grid connection capacity guaranteed at all times, versus capacity given on condition that the facility reduces power when instructed.</w:t>
            </w:r>
          </w:p>
        </w:tc>
      </w:tr>
      <w:tr>
        <w:tc>
          <w:tcPr/>
          <w:p>
            <w:pPr>
              <w:pStyle w:val="Compact"/>
              <w:jc w:val="both"/>
            </w:pPr>
            <w:r>
              <w:t xml:space="preserve">Card multiplier</w:t>
            </w:r>
          </w:p>
        </w:tc>
        <w:tc>
          <w:tcPr/>
          <w:p>
            <w:pPr>
              <w:pStyle w:val="Compact"/>
              <w:jc w:val="both"/>
            </w:pPr>
            <w:r>
              <w:t xml:space="preserve">The extra cards needed to keep total throughput when capping. It equals the latency ratio (~1.2×).</w:t>
            </w:r>
          </w:p>
        </w:tc>
      </w:tr>
    </w:tbl>
    <w:bookmarkEnd w:id="25"/>
    <w:bookmarkStart w:id="28" w:name="objectives-of-the-program"/>
    <w:p>
      <w:pPr>
        <w:pStyle w:val="Heading2"/>
        <w:pBdr>
          <w:bottom w:val="single" w:sz="6" w:space="2" w:color="C8C8C8"/>
        </w:pBdr>
      </w:pPr>
      <w:r>
        <w:t xml:space="preserve">2.5.4 Objectives of the program</w:t>
      </w:r>
    </w:p>
    <w:bookmarkStart w:id="26" w:name="the-objective"/>
    <w:p>
      <w:pPr>
        <w:pStyle w:val="Heading3"/>
      </w:pPr>
      <w:r>
        <w:t xml:space="preserve">2.5.4.1 The objective</w:t>
      </w:r>
    </w:p>
    <w:p>
      <w:pPr>
        <w:pStyle w:val="FirstParagraph"/>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jc w:val="bot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jc w:val="both"/>
      </w:pPr>
      <w:r>
        <w:t xml:space="preserve">Six sub-questions structure the work plan:</w:t>
      </w:r>
    </w:p>
    <w:p>
      <w:pPr>
        <w:pStyle w:val="Compact"/>
        <w:numPr>
          <w:ilvl w:val="0"/>
          <w:numId w:val="1001"/>
        </w:numPr>
        <w:jc w:val="both"/>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jc w:val="both"/>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jc w:val="both"/>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jc w:val="both"/>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jc w:val="both"/>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Bdr>
          <w:bottom w:val="single" w:sz="6" w:space="2" w:color="C8C8C8"/>
        </w:pBdr>
      </w:pPr>
      <w:r>
        <w:t xml:space="preserve">2.5.5 The proposed research</w:t>
      </w:r>
    </w:p>
    <w:bookmarkStart w:id="29" w:name="scientific-and-technological-background"/>
    <w:p>
      <w:pPr>
        <w:pStyle w:val="Heading3"/>
      </w:pPr>
      <w:r>
        <w:t xml:space="preserve">2.5.5.1 Scientific and technological background</w:t>
      </w:r>
    </w:p>
    <w:p>
      <w:pPr>
        <w:pStyle w:val="FirstParagraph"/>
        <w:jc w:val="bot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jc w:val="both"/>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jc w:val="both"/>
      </w:pPr>
      <w:r>
        <w:t xml:space="preserve">P(θ) = P₀ + a·θ^β,   median R² = 0.99,</w:t>
      </w:r>
    </w:p>
    <w:p>
      <w:pPr>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jc w:val="both"/>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jc w:val="bot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WP</w:t>
            </w:r>
          </w:p>
        </w:tc>
        <w:tc>
          <w:tcPr/>
          <w:p>
            <w:pPr>
              <w:pStyle w:val="Compact"/>
              <w:jc w:val="both"/>
            </w:pPr>
            <w:r>
              <w:t xml:space="preserve">Objective</w:t>
            </w:r>
          </w:p>
        </w:tc>
        <w:tc>
          <w:tcPr/>
          <w:p>
            <w:pPr>
              <w:pStyle w:val="Compact"/>
              <w:jc w:val="both"/>
            </w:pPr>
            <w:r>
              <w:t xml:space="preserve">Approach and output</w:t>
            </w:r>
          </w:p>
        </w:tc>
      </w:tr>
      <w:tr>
        <w:tc>
          <w:tcPr/>
          <w:p>
            <w:pPr>
              <w:pStyle w:val="Compact"/>
              <w:jc w:val="both"/>
            </w:pPr>
            <w:r>
              <w:rPr>
                <w:b/>
                <w:bCs/>
              </w:rPr>
              <w:t xml:space="preserve">WP1</w:t>
            </w:r>
          </w:p>
        </w:tc>
        <w:tc>
          <w:tcPr/>
          <w:p>
            <w:pPr>
              <w:pStyle w:val="Compact"/>
              <w:jc w:val="both"/>
            </w:pPr>
            <w:r>
              <w:t xml:space="preserve">Extend the energy-versus-power measurements to current GPUs, production software, and whole-server power.</w:t>
            </w:r>
          </w:p>
        </w:tc>
        <w:tc>
          <w:tcPr/>
          <w:p>
            <w:pPr>
              <w:pStyle w:val="Compact"/>
              <w:jc w:val="both"/>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both"/>
            </w:pPr>
            <w:r>
              <w:rPr>
                <w:b/>
                <w:bCs/>
              </w:rPr>
              <w:t xml:space="preserve">WP2</w:t>
            </w:r>
          </w:p>
        </w:tc>
        <w:tc>
          <w:tcPr/>
          <w:p>
            <w:pPr>
              <w:pStyle w:val="Compact"/>
              <w:jc w:val="both"/>
            </w:pPr>
            <w:r>
              <w:t xml:space="preserve">Predict any new card's or job's efficient operating point without a full measurement sweep.</w:t>
            </w:r>
          </w:p>
        </w:tc>
        <w:tc>
          <w:tcPr/>
          <w:p>
            <w:pPr>
              <w:pStyle w:val="Compact"/>
              <w:jc w:val="both"/>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both"/>
            </w:pPr>
            <w:r>
              <w:rPr>
                <w:b/>
                <w:bCs/>
              </w:rPr>
              <w:t xml:space="preserve">WP3</w:t>
            </w:r>
          </w:p>
        </w:tc>
        <w:tc>
          <w:tcPr/>
          <w:p>
            <w:pPr>
              <w:pStyle w:val="Compact"/>
              <w:jc w:val="both"/>
            </w:pPr>
            <w:r>
              <w:t xml:space="preserve">Decide, in real time, which job runs on which card and at what power cap, to do the most useful work within a changing power limit.</w:t>
            </w:r>
          </w:p>
        </w:tc>
        <w:tc>
          <w:tcPr/>
          <w:p>
            <w:pPr>
              <w:pStyle w:val="Compact"/>
              <w:jc w:val="both"/>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both"/>
            </w:pPr>
            <w:r>
              <w:rPr>
                <w:b/>
                <w:bCs/>
              </w:rPr>
              <w:t xml:space="preserve">WP4</w:t>
            </w:r>
          </w:p>
        </w:tc>
        <w:tc>
          <w:tcPr/>
          <w:p>
            <w:pPr>
              <w:pStyle w:val="Compact"/>
              <w:jc w:val="both"/>
            </w:pPr>
            <w:r>
              <w:t xml:space="preserve">Define what flexibility a controlled facility can offer the grid, and measure it.</w:t>
            </w:r>
          </w:p>
        </w:tc>
        <w:tc>
          <w:tcPr/>
          <w:p>
            <w:pPr>
              <w:pStyle w:val="Compact"/>
              <w:jc w:val="both"/>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both"/>
            </w:pPr>
            <w:r>
              <w:rPr>
                <w:b/>
                <w:bCs/>
              </w:rPr>
              <w:t xml:space="preserve">WP5</w:t>
            </w:r>
          </w:p>
        </w:tc>
        <w:tc>
          <w:tcPr/>
          <w:p>
            <w:pPr>
              <w:pStyle w:val="Compact"/>
              <w:jc w:val="both"/>
            </w:pPr>
            <w:r>
              <w:t xml:space="preserve">Find pricing and connection rules that reward efficient operation, and release everything openly.</w:t>
            </w:r>
          </w:p>
        </w:tc>
        <w:tc>
          <w:tcPr/>
          <w:p>
            <w:pPr>
              <w:pStyle w:val="Compact"/>
              <w:jc w:val="both"/>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jc w:val="both"/>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jc w:val="both"/>
      </w:pPr>
      <w:r>
        <w:t xml:space="preserve">The measured law and the JP are established preliminary results [1]; the project’s novelty is the frontier built on them:</w:t>
      </w:r>
    </w:p>
    <w:p>
      <w:pPr>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jc w:val="both"/>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jc w:val="bot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pStyle w:val="Compact"/>
              <w:jc w:val="both"/>
            </w:pPr>
            <w:r>
              <w:t xml:space="preserve">Clause</w:t>
            </w:r>
          </w:p>
        </w:tc>
        <w:tc>
          <w:tcPr/>
          <w:p>
            <w:pPr>
              <w:pStyle w:val="Compact"/>
              <w:jc w:val="both"/>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both"/>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both"/>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both"/>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both"/>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both"/>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Bdr>
          <w:bottom w:val="single" w:sz="6" w:space="2" w:color="C8C8C8"/>
        </w:pBdr>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jc w:val="both"/>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jc w:val="both"/>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Bdr>
          <w:bottom w:val="single" w:sz="6" w:space="2" w:color="C8C8C8"/>
        </w:pBdr>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Months</w:t>
            </w:r>
          </w:p>
        </w:tc>
        <w:tc>
          <w:tcPr/>
          <w:p>
            <w:pPr>
              <w:pStyle w:val="Compact"/>
              <w:jc w:val="both"/>
            </w:pPr>
            <w:r>
              <w:t xml:space="preserve">Stage</w:t>
            </w:r>
          </w:p>
        </w:tc>
        <w:tc>
          <w:tcPr/>
          <w:p>
            <w:pPr>
              <w:pStyle w:val="Compact"/>
              <w:jc w:val="both"/>
            </w:pPr>
            <w:r>
              <w:t xml:space="preserve">Deliverable</w:t>
            </w:r>
          </w:p>
        </w:tc>
        <w:tc>
          <w:tcPr/>
          <w:p>
            <w:pPr>
              <w:pStyle w:val="Compact"/>
              <w:jc w:val="both"/>
            </w:pPr>
            <w:r>
              <w:t xml:space="preserve">Success metric</w:t>
            </w:r>
          </w:p>
        </w:tc>
      </w:tr>
      <w:tr>
        <w:tc>
          <w:tcPr/>
          <w:p>
            <w:pPr>
              <w:pStyle w:val="Compact"/>
              <w:jc w:val="both"/>
            </w:pPr>
            <w:r>
              <w:t xml:space="preserve">M1–M6</w:t>
            </w:r>
          </w:p>
        </w:tc>
        <w:tc>
          <w:tcPr/>
          <w:p>
            <w:pPr>
              <w:pStyle w:val="Compact"/>
              <w:jc w:val="both"/>
            </w:pPr>
            <w:r>
              <w:t xml:space="preserve">WP1: harness; new-generation and production-engine (vLLM) sweeps; board and node instrumentation</w:t>
            </w:r>
          </w:p>
        </w:tc>
        <w:tc>
          <w:tcPr/>
          <w:p>
            <w:pPr>
              <w:pStyle w:val="Compact"/>
              <w:jc w:val="both"/>
            </w:pPr>
            <w:r>
              <w:t xml:space="preserve">D1: ELF-2 v1</w:t>
            </w:r>
          </w:p>
        </w:tc>
        <w:tc>
          <w:tcPr/>
          <w:p>
            <w:pPr>
              <w:pStyle w:val="Compact"/>
              <w:jc w:val="both"/>
            </w:pPr>
            <w:r>
              <w:t xml:space="preserve">Law fit R² ≥ 0.95 per sweep, below the measured 0.99 median [1], or deviation documented; JP located (or absence documented) per platform at board and node power</w:t>
            </w:r>
          </w:p>
        </w:tc>
      </w:tr>
      <w:tr>
        <w:tc>
          <w:tcPr/>
          <w:p>
            <w:pPr>
              <w:pStyle w:val="Compact"/>
              <w:jc w:val="both"/>
            </w:pPr>
            <w:r>
              <w:t xml:space="preserve">M5–M8</w:t>
            </w:r>
          </w:p>
        </w:tc>
        <w:tc>
          <w:tcPr/>
          <w:p>
            <w:pPr>
              <w:pStyle w:val="Compact"/>
              <w:jc w:val="both"/>
            </w:pPr>
            <w:r>
              <w:t xml:space="preserve">WP1: shared GPUs, LLM phases, fine-tuning; sweeps where the constant should break</w:t>
            </w:r>
          </w:p>
        </w:tc>
        <w:tc>
          <w:tcPr/>
          <w:p>
            <w:pPr>
              <w:pStyle w:val="Compact"/>
              <w:jc w:val="both"/>
            </w:pPr>
            <w:r>
              <w:t xml:space="preserve">MS1: regime map</w:t>
            </w:r>
          </w:p>
        </w:tc>
        <w:tc>
          <w:tcPr/>
          <w:p>
            <w:pPr>
              <w:pStyle w:val="Compact"/>
              <w:jc w:val="both"/>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both"/>
            </w:pPr>
            <w:r>
              <w:t xml:space="preserve">M7–M12</w:t>
            </w:r>
          </w:p>
        </w:tc>
        <w:tc>
          <w:tcPr/>
          <w:p>
            <w:pPr>
              <w:pStyle w:val="Compact"/>
              <w:jc w:val="both"/>
            </w:pPr>
            <w:r>
              <w:t xml:space="preserve">WP2: job model; transfer model; one-test characterization protocol</w:t>
            </w:r>
          </w:p>
        </w:tc>
        <w:tc>
          <w:tcPr/>
          <w:p>
            <w:pPr>
              <w:pStyle w:val="Compact"/>
              <w:jc w:val="both"/>
            </w:pPr>
            <w:r>
              <w:t xml:space="preserve">MS2: models result</w:t>
            </w:r>
          </w:p>
        </w:tc>
        <w:tc>
          <w:tcPr/>
          <w:p>
            <w:pPr>
              <w:pStyle w:val="Compact"/>
              <w:jc w:val="both"/>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both"/>
            </w:pPr>
            <w:r>
              <w:t xml:space="preserve">M9–M16</w:t>
            </w:r>
          </w:p>
        </w:tc>
        <w:tc>
          <w:tcPr/>
          <w:p>
            <w:pPr>
              <w:pStyle w:val="Compact"/>
              <w:jc w:val="both"/>
            </w:pPr>
            <w:r>
              <w:t xml:space="preserve">WP3: twin; joint controller under fixed, price, carbon and curtailment envelopes</w:t>
            </w:r>
          </w:p>
        </w:tc>
        <w:tc>
          <w:tcPr/>
          <w:p>
            <w:pPr>
              <w:pStyle w:val="Compact"/>
              <w:jc w:val="both"/>
            </w:pPr>
            <w:r>
              <w:t xml:space="preserve">MS3: controller result</w:t>
            </w:r>
          </w:p>
        </w:tc>
        <w:tc>
          <w:tcPr/>
          <w:p>
            <w:pPr>
              <w:pStyle w:val="Compact"/>
              <w:jc w:val="both"/>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both"/>
            </w:pPr>
            <w:r>
              <w:t xml:space="preserve">M14–M20</w:t>
            </w:r>
          </w:p>
        </w:tc>
        <w:tc>
          <w:tcPr/>
          <w:p>
            <w:pPr>
              <w:pStyle w:val="Compact"/>
              <w:jc w:val="both"/>
            </w:pPr>
            <w:r>
              <w:t xml:space="preserve">WP4: flexibility products and metrics; demonstration on rented BMC-metered servers; Israel scenario</w:t>
            </w:r>
          </w:p>
        </w:tc>
        <w:tc>
          <w:tcPr/>
          <w:p>
            <w:pPr>
              <w:pStyle w:val="Compact"/>
              <w:jc w:val="both"/>
            </w:pPr>
            <w:r>
              <w:t xml:space="preserve">MS4: flexibility demonstration</w:t>
            </w:r>
          </w:p>
        </w:tc>
        <w:tc>
          <w:tcPr/>
          <w:p>
            <w:pPr>
              <w:pStyle w:val="Compact"/>
              <w:jc w:val="both"/>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both"/>
            </w:pPr>
            <w:r>
              <w:t xml:space="preserve">M16–M21</w:t>
            </w:r>
          </w:p>
        </w:tc>
        <w:tc>
          <w:tcPr/>
          <w:p>
            <w:pPr>
              <w:pStyle w:val="Compact"/>
              <w:jc w:val="both"/>
            </w:pPr>
            <w:r>
              <w:t xml:space="preserve">WP5: incentive model; connection valuation on published Israeli data; twin evaluation</w:t>
            </w:r>
          </w:p>
        </w:tc>
        <w:tc>
          <w:tcPr/>
          <w:p>
            <w:pPr>
              <w:pStyle w:val="Compact"/>
              <w:jc w:val="both"/>
            </w:pPr>
            <w:r>
              <w:t xml:space="preserve">MS5: policy report draft</w:t>
            </w:r>
          </w:p>
        </w:tc>
        <w:tc>
          <w:tcPr/>
          <w:p>
            <w:pPr>
              <w:pStyle w:val="Compact"/>
              <w:jc w:val="both"/>
            </w:pPr>
            <w:r>
              <w:t xml:space="preserve">Alignment condition per billing structure, confirmed in the twin; option value per MW and break-even curtailment frequency, with sensitivity to every price input</w:t>
            </w:r>
          </w:p>
        </w:tc>
      </w:tr>
      <w:tr>
        <w:tc>
          <w:tcPr/>
          <w:p>
            <w:pPr>
              <w:pStyle w:val="Compact"/>
              <w:jc w:val="both"/>
            </w:pPr>
            <w:r>
              <w:t xml:space="preserve">M21–M24</w:t>
            </w:r>
          </w:p>
        </w:tc>
        <w:tc>
          <w:tcPr/>
          <w:p>
            <w:pPr>
              <w:pStyle w:val="Compact"/>
              <w:jc w:val="both"/>
            </w:pPr>
            <w:r>
              <w:t xml:space="preserve">WP5: release, documentation, validation, publication</w:t>
            </w:r>
          </w:p>
        </w:tc>
        <w:tc>
          <w:tcPr/>
          <w:p>
            <w:pPr>
              <w:pStyle w:val="Compact"/>
              <w:jc w:val="both"/>
            </w:pPr>
            <w:r>
              <w:t xml:space="preserve">D2: open release; D3: final report</w:t>
            </w:r>
          </w:p>
        </w:tc>
        <w:tc>
          <w:tcPr/>
          <w:p>
            <w:pPr>
              <w:pStyle w:val="Compact"/>
              <w:jc w:val="both"/>
            </w:pPr>
            <w:r>
              <w:t xml:space="preserve">Public repositories with reproducing pipelines; metered validation; final scientific and policy reports</w:t>
            </w:r>
          </w:p>
        </w:tc>
      </w:tr>
    </w:tbl>
    <w:p>
      <w:pPr>
        <w:pStyle w:val="BodyText"/>
        <w:jc w:val="both"/>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pStyle w:val="Compact"/>
              <w:jc w:val="both"/>
            </w:pPr>
            <w:r>
              <w:t xml:space="preserve">Stage</w:t>
            </w:r>
          </w:p>
        </w:tc>
        <w:tc>
          <w:tcPr/>
          <w:p>
            <w:pPr>
              <w:pStyle w:val="Compact"/>
              <w:jc w:val="both"/>
            </w:pPr>
            <w:r>
              <w:t xml:space="preserve">Share</w:t>
            </w:r>
          </w:p>
        </w:tc>
        <w:tc>
          <w:tcPr/>
          <w:p>
            <w:pPr>
              <w:pStyle w:val="Compact"/>
              <w:jc w:val="both"/>
            </w:pPr>
            <w:r>
              <w:t xml:space="preserve">Amount (₪)</w:t>
            </w:r>
          </w:p>
        </w:tc>
        <w:tc>
          <w:tcPr/>
          <w:p>
            <w:pPr>
              <w:pStyle w:val="Compact"/>
              <w:jc w:val="both"/>
            </w:pPr>
            <w:r>
              <w:t xml:space="preserve">Principal costs</w:t>
            </w:r>
          </w:p>
        </w:tc>
      </w:tr>
      <w:tr>
        <w:tc>
          <w:tcPr/>
          <w:p>
            <w:pPr>
              <w:pStyle w:val="Compact"/>
              <w:jc w:val="both"/>
            </w:pPr>
            <w:r>
              <w:t xml:space="preserve">M1–M8 (WP1; WP2 begins)</w:t>
            </w:r>
          </w:p>
        </w:tc>
        <w:tc>
          <w:tcPr/>
          <w:p>
            <w:pPr>
              <w:pStyle w:val="Compact"/>
              <w:jc w:val="both"/>
            </w:pPr>
            <w:r>
              <w:t xml:space="preserve">30%</w:t>
            </w:r>
          </w:p>
        </w:tc>
        <w:tc>
          <w:tcPr/>
          <w:p>
            <w:pPr>
              <w:pStyle w:val="Compact"/>
              <w:jc w:val="both"/>
            </w:pPr>
            <w:r>
              <w:t xml:space="preserve">148,314</w:t>
            </w:r>
          </w:p>
        </w:tc>
        <w:tc>
          <w:tcPr/>
          <w:p>
            <w:pPr>
              <w:pStyle w:val="Compact"/>
              <w:jc w:val="both"/>
            </w:pPr>
            <w:r>
              <w:t xml:space="preserve">Postdoctoral researcher; GPU rentals for cap sweeps</w:t>
            </w:r>
          </w:p>
        </w:tc>
      </w:tr>
      <w:tr>
        <w:tc>
          <w:tcPr/>
          <w:p>
            <w:pPr>
              <w:pStyle w:val="Compact"/>
              <w:jc w:val="both"/>
            </w:pPr>
            <w:r>
              <w:t xml:space="preserve">M9–M16 (WP2 ends; WP3; WP4 begins)</w:t>
            </w:r>
          </w:p>
        </w:tc>
        <w:tc>
          <w:tcPr/>
          <w:p>
            <w:pPr>
              <w:pStyle w:val="Compact"/>
              <w:jc w:val="both"/>
            </w:pPr>
            <w:r>
              <w:t xml:space="preserve">33%</w:t>
            </w:r>
          </w:p>
        </w:tc>
        <w:tc>
          <w:tcPr/>
          <w:p>
            <w:pPr>
              <w:pStyle w:val="Compact"/>
              <w:jc w:val="both"/>
            </w:pPr>
            <w:r>
              <w:t xml:space="preserve">163,145</w:t>
            </w:r>
          </w:p>
        </w:tc>
        <w:tc>
          <w:tcPr/>
          <w:p>
            <w:pPr>
              <w:pStyle w:val="Compact"/>
              <w:jc w:val="both"/>
            </w:pPr>
            <w:r>
              <w:t xml:space="preserve">Postdoctoral researcher; card-model rentals for transfer validation; twin and controller work</w:t>
            </w:r>
          </w:p>
        </w:tc>
      </w:tr>
      <w:tr>
        <w:tc>
          <w:tcPr/>
          <w:p>
            <w:pPr>
              <w:pStyle w:val="Compact"/>
              <w:jc w:val="both"/>
            </w:pPr>
            <w:r>
              <w:t xml:space="preserve">M17–M21 (WP4 ends; WP5)</w:t>
            </w:r>
          </w:p>
        </w:tc>
        <w:tc>
          <w:tcPr/>
          <w:p>
            <w:pPr>
              <w:pStyle w:val="Compact"/>
              <w:jc w:val="both"/>
            </w:pPr>
            <w:r>
              <w:t xml:space="preserve">25%</w:t>
            </w:r>
          </w:p>
        </w:tc>
        <w:tc>
          <w:tcPr/>
          <w:p>
            <w:pPr>
              <w:pStyle w:val="Compact"/>
              <w:jc w:val="both"/>
            </w:pPr>
            <w:r>
              <w:t xml:space="preserve">123,595</w:t>
            </w:r>
          </w:p>
        </w:tc>
        <w:tc>
          <w:tcPr/>
          <w:p>
            <w:pPr>
              <w:pStyle w:val="Compact"/>
              <w:jc w:val="both"/>
            </w:pPr>
            <w:r>
              <w:t xml:space="preserve">Postdoctoral researcher; BMC-metered rentals; flexibility campaign</w:t>
            </w:r>
          </w:p>
        </w:tc>
      </w:tr>
      <w:tr>
        <w:tc>
          <w:tcPr/>
          <w:p>
            <w:pPr>
              <w:pStyle w:val="Compact"/>
              <w:jc w:val="both"/>
            </w:pPr>
            <w:r>
              <w:t xml:space="preserve">M22–M24 (WP5: release and validation)</w:t>
            </w:r>
          </w:p>
        </w:tc>
        <w:tc>
          <w:tcPr/>
          <w:p>
            <w:pPr>
              <w:pStyle w:val="Compact"/>
              <w:jc w:val="both"/>
            </w:pPr>
            <w:r>
              <w:t xml:space="preserve">12%</w:t>
            </w:r>
          </w:p>
        </w:tc>
        <w:tc>
          <w:tcPr/>
          <w:p>
            <w:pPr>
              <w:pStyle w:val="Compact"/>
              <w:jc w:val="both"/>
            </w:pPr>
            <w:r>
              <w:t xml:space="preserve">59,326</w:t>
            </w:r>
          </w:p>
        </w:tc>
        <w:tc>
          <w:tcPr/>
          <w:p>
            <w:pPr>
              <w:pStyle w:val="Compact"/>
              <w:jc w:val="both"/>
            </w:pPr>
            <w:r>
              <w:t xml:space="preserve">Postdoctoral researcher; metered validation runs; documentation; dissemination and publication</w:t>
            </w:r>
          </w:p>
        </w:tc>
      </w:tr>
      <w:tr>
        <w:tc>
          <w:tcPr>
            <w:gridSpan w:val="2"/>
          </w:tcPr>
          <w:p>
            <w:pPr>
              <w:pStyle w:val="Compact"/>
              <w:jc w:val="both"/>
            </w:pPr>
            <w:r>
              <w:rPr>
                <w:b/>
                <w:bCs/>
              </w:rPr>
              <w:t xml:space="preserve">Total</w:t>
            </w:r>
          </w:p>
        </w:tc>
        <w:tc>
          <w:tcPr/>
          <w:p>
            <w:pPr>
              <w:pStyle w:val="Compact"/>
              <w:jc w:val="both"/>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pStyle w:val="Compact"/>
              <w:jc w:val="both"/>
            </w:pPr>
            <w:r>
              <w:t xml:space="preserve">Risk</w:t>
            </w:r>
          </w:p>
        </w:tc>
        <w:tc>
          <w:tcPr/>
          <w:p>
            <w:pPr>
              <w:pStyle w:val="Compact"/>
              <w:jc w:val="both"/>
            </w:pPr>
            <w:r>
              <w:t xml:space="preserve">Impact</w:t>
            </w:r>
          </w:p>
        </w:tc>
        <w:tc>
          <w:tcPr/>
          <w:p>
            <w:pPr>
              <w:pStyle w:val="Compact"/>
              <w:jc w:val="both"/>
            </w:pPr>
            <w:r>
              <w:t xml:space="preserve">Mitigation</w:t>
            </w:r>
          </w:p>
        </w:tc>
      </w:tr>
      <w:tr>
        <w:tc>
          <w:tcPr/>
          <w:p>
            <w:pPr>
              <w:pStyle w:val="Compact"/>
              <w:jc w:val="both"/>
            </w:pPr>
            <w:r>
              <w:t xml:space="preserve">Production serving software (continuous batching, shifting phases) blurs the per-card constant</w:t>
            </w:r>
          </w:p>
        </w:tc>
        <w:tc>
          <w:tcPr/>
          <w:p>
            <w:pPr>
              <w:pStyle w:val="Compact"/>
              <w:jc w:val="both"/>
            </w:pPr>
            <w:r>
              <w:t xml:space="preserve">Static cap loses near-optimality for LLMs</w:t>
            </w:r>
          </w:p>
        </w:tc>
        <w:tc>
          <w:tcPr/>
          <w:p>
            <w:pPr>
              <w:pStyle w:val="Compact"/>
              <w:jc w:val="both"/>
            </w:pPr>
            <w:r>
              <w:t xml:space="preserve">Measured first (WP1, M1); the job model predicts the optimum where the constant breaks</w:t>
            </w:r>
          </w:p>
        </w:tc>
      </w:tr>
      <w:tr>
        <w:tc>
          <w:tcPr/>
          <w:p>
            <w:pPr>
              <w:pStyle w:val="Compact"/>
              <w:jc w:val="both"/>
            </w:pPr>
            <w:r>
              <w:t xml:space="preserve">Power-cap control unavailable on some rented platforms</w:t>
            </w:r>
          </w:p>
        </w:tc>
        <w:tc>
          <w:tcPr/>
          <w:p>
            <w:pPr>
              <w:pStyle w:val="Compact"/>
              <w:jc w:val="both"/>
            </w:pPr>
            <w:r>
              <w:t xml:space="preserve">Measurement campaign narrowed</w:t>
            </w:r>
          </w:p>
        </w:tc>
        <w:tc>
          <w:tcPr/>
          <w:p>
            <w:pPr>
              <w:pStyle w:val="Compact"/>
              <w:jc w:val="both"/>
            </w:pPr>
            <w:r>
              <w:t xml:space="preserve">AWS EC2 gives passthrough and root; too-high cap floors are exposed via the graphics clock (L4 [1]); BMC rentals cover the wall tier</w:t>
            </w:r>
          </w:p>
        </w:tc>
      </w:tr>
      <w:tr>
        <w:tc>
          <w:tcPr/>
          <w:p>
            <w:pPr>
              <w:pStyle w:val="Compact"/>
              <w:jc w:val="both"/>
            </w:pPr>
            <w:r>
              <w:t xml:space="preserve">Postdoc recruitment slips, or the single hire is lost mid-project</w:t>
            </w:r>
          </w:p>
        </w:tc>
        <w:tc>
          <w:tcPr/>
          <w:p>
            <w:pPr>
              <w:pStyle w:val="Compact"/>
              <w:jc w:val="both"/>
            </w:pPr>
            <w:r>
              <w:t xml:space="preserve">Schedule and delivery at risk</w:t>
            </w:r>
          </w:p>
        </w:tc>
        <w:tc>
          <w:tcPr/>
          <w:p>
            <w:pPr>
              <w:pStyle w:val="Compact"/>
              <w:jc w:val="both"/>
            </w:pPr>
            <w:r>
              <w:t xml:space="preserve">PI runs the WP1 bench directly (the ELF harness is his); the minimum-success path is one-FTE executable; recruitment via HIT and national channels with a fallback</w:t>
            </w:r>
          </w:p>
        </w:tc>
      </w:tr>
      <w:tr>
        <w:tc>
          <w:tcPr/>
          <w:p>
            <w:pPr>
              <w:pStyle w:val="Compact"/>
              <w:jc w:val="both"/>
            </w:pPr>
            <w:r>
              <w:t xml:space="preserve">Out-of-band PSU telemetry (BMC/IPMI/Redfish) blocked on a rented server</w:t>
            </w:r>
          </w:p>
        </w:tc>
        <w:tc>
          <w:tcPr/>
          <w:p>
            <w:pPr>
              <w:pStyle w:val="Compact"/>
              <w:jc w:val="both"/>
            </w:pPr>
            <w:r>
              <w:t xml:space="preserve">Wall-tier measurement narrowed</w:t>
            </w:r>
          </w:p>
        </w:tc>
        <w:tc>
          <w:tcPr/>
          <w:p>
            <w:pPr>
              <w:pStyle w:val="Compact"/>
              <w:jc w:val="both"/>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Bdr>
          <w:bottom w:val="single" w:sz="6" w:space="2" w:color="C8C8C8"/>
        </w:pBdr>
      </w:pPr>
      <w:r>
        <w:t xml:space="preserve">2.5.8 The applicant</w:t>
      </w:r>
    </w:p>
    <w:p>
      <w:pPr>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jc w:val="both"/>
      </w:pPr>
      <w:r>
        <w:rPr>
          <w:b/>
          <w:bCs/>
        </w:rPr>
        <w:t xml:space="preserve">Fit of expertise to the proposed work.</w:t>
      </w:r>
      <w:r>
        <w:t xml:space="preserve"> </w:t>
      </w:r>
      <w:r>
        <w:t xml:space="preserve">The scientific foundation is the PI's own study [1]: the ELF dataset, law, JP and fleet result. The work plan maps onto that record across all five packages, and the harness, models and simulation are built and validated.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power-systems specialist. Recruitment runs through HIT and national postdoctoral channels; if the month-1 start slips the PI runs the WP1 bench directly (the ELF harness is his), so the minimum-success path holds.</w:t>
      </w:r>
    </w:p>
    <w:p>
      <w:pPr>
        <w:pStyle w:val="BodyText"/>
        <w:jc w:val="both"/>
      </w:pPr>
      <w:r>
        <w:rPr>
          <w:b/>
          <w:bCs/>
        </w:rPr>
        <w:t xml:space="preserve">Advisor.</w:t>
      </w:r>
      <w:r>
        <w:t xml:space="preserve"> </w:t>
      </w:r>
      <w:r>
        <w:t xml:space="preserve">A senior academic advisor with long experience in energy systems, energy efficiency and energy-systems management will advise the facility-level energy measurement and grid-flexibility work (WP4) and the techno-economic analysis (WP5), adding an energy-systems perspective to the team’s computing and ML expertise. The advisor will be named before signature.</w:t>
      </w:r>
    </w:p>
    <w:p>
      <w:pPr>
        <w:pStyle w:val="BodyText"/>
        <w:jc w:val="both"/>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Bdr>
          <w:bottom w:val="single" w:sz="6" w:space="2" w:color="C8C8C8"/>
        </w:pBdr>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Bdr>
          <w:bottom w:val="single" w:sz="6" w:space="2" w:color="C8C8C8"/>
        </w:pBdr>
      </w:pPr>
      <w:r>
        <w:t xml:space="preserve">2.5.10 Bibliography</w:t>
      </w:r>
    </w:p>
    <w:p>
      <w:pPr>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1" w:name="X5d5bc83c2eef3c669b01ea2354df53c4eb22d2f"/>
    <w:p>
      <w:pPr>
        <w:pStyle w:val="Heading2"/>
        <w:pBdr>
          <w:bottom w:val="single" w:sz="6" w:space="2" w:color="C8C8C8"/>
        </w:pBdr>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CaptionedFigure"/>
        <w:jc w:val="both"/>
      </w:pPr>
      <w:r>
        <w:drawing>
          <wp:inline>
            <wp:extent cx="5727700" cy="1819068"/>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727700" cy="1819068"/>
                    </a:xfrm>
                    <a:prstGeom prst="rect">
                      <a:avLst/>
                    </a:prstGeom>
                    <a:noFill/>
                    <a:ln w="9525">
                      <a:noFill/>
                      <a:headEnd/>
                      <a:tailEnd/>
                    </a:ln>
                  </pic:spPr>
                </pic:pic>
              </a:graphicData>
            </a:graphic>
          </wp:inline>
        </w:drawing>
      </w:r>
    </w:p>
    <w:p>
      <w:pPr>
        <w:pStyle w:val="ImageCaption"/>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 P(θ) = P₀ + a·θ^β (pooled</w:t>
      </w:r>
      <w:r>
        <w:t xml:space="preserve"> </w:t>
      </w:r>
      <w:r>
        <w:t xml:space="preserve">per-card R² 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CaptionedFigure"/>
        <w:jc w:val="both"/>
      </w:pPr>
      <w:r>
        <w:drawing>
          <wp:inline>
            <wp:extent cx="5727700" cy="3953299"/>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727700" cy="3953299"/>
                    </a:xfrm>
                    <a:prstGeom prst="rect">
                      <a:avLst/>
                    </a:prstGeom>
                    <a:noFill/>
                    <a:ln w="9525">
                      <a:noFill/>
                      <a:headEnd/>
                      <a:tailEnd/>
                    </a:ln>
                  </pic:spPr>
                </pic:pic>
              </a:graphicData>
            </a:graphic>
          </wp:inline>
        </w:drawing>
      </w:r>
    </w:p>
    <w:p>
      <w:pPr>
        <w:pStyle w:val="ImageCaption"/>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CaptionedFigure"/>
        <w:jc w:val="both"/>
      </w:pPr>
      <w:r>
        <w:drawing>
          <wp:inline>
            <wp:extent cx="5727700" cy="3733460"/>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727700" cy="3733460"/>
                    </a:xfrm>
                    <a:prstGeom prst="rect">
                      <a:avLst/>
                    </a:prstGeom>
                    <a:noFill/>
                    <a:ln w="9525">
                      <a:noFill/>
                      <a:headEnd/>
                      <a:tailEnd/>
                    </a:ln>
                  </pic:spPr>
                </pic:pic>
              </a:graphicData>
            </a:graphic>
          </wp:inline>
        </w:drawing>
      </w:r>
    </w:p>
    <w:p>
      <w:pPr>
        <w:pStyle w:val="ImageCaption"/>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tbl>
      <w:tblPr>
        <w:tblStyle w:val="FigureTable"/>
        <w:tblW w:type="auto" w:w="0"/>
        <w:jc w:val="center"/>
        <w:tblLook w:firstRow="0" w:lastRow="0" w:firstColumn="0" w:lastColumn="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c>
          <w:tcPr/>
          <w:p>
            <w:pPr>
              <w:pStyle w:val="Heading2"/>
              <w:jc w:val="center"/>
              <w:pBdr>
                <w:bottom w:val="single" w:sz="6" w:space="2" w:color="C8C8C8"/>
              </w:pBdr>
            </w:pPr>
            <w:bookmarkStart w:id="60" w:name="Xb70b95b8b38ded80618834689cadeac3dd55d32"/>
            <w:r>
              <w:t xml:space="preserve">Table A1. The five deliverables: what each is, who uses it</w:t>
            </w:r>
            <w:bookmarkEnd w:id="60"/>
          </w:p>
        </w:tc>
        <w:tc>
          <w:tcPr/>
          <w:p>
            <w:pPr>
              <w:jc w:val="both"/>
            </w:pPr>
            <w:r>
              <w:t xml:space="preserve">The project delivers five named artifacts, each with a defined user and use: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Deliverable</w:t>
                  </w:r>
                </w:p>
              </w:tc>
              <w:tc>
                <w:tcPr/>
                <w:p>
                  <w:pPr>
                    <w:pStyle w:val="Compact"/>
                    <w:jc w:val="left"/>
                    <w:jc w:val="center"/>
                  </w:pPr>
                  <w:r>
                    <w:t xml:space="preserve">What it is</w:t>
                  </w:r>
                </w:p>
              </w:tc>
              <w:tc>
                <w:tcPr/>
                <w:p>
                  <w:pPr>
                    <w:pStyle w:val="Compact"/>
                    <w:jc w:val="left"/>
                    <w:jc w:val="center"/>
                  </w:pPr>
                  <w:r>
                    <w:t xml:space="preserve">Who uses it, for what</w:t>
                  </w:r>
                </w:p>
              </w:tc>
            </w:tr>
            <w:tr>
              <w:tc>
                <w:tcPr/>
                <w:p>
                  <w:pPr>
                    <w:pStyle w:val="Compact"/>
                    <w:jc w:val="left"/>
                    <w:jc w:val="center"/>
                  </w:pPr>
                  <w:r>
                    <w:rPr>
                      <w:b/>
                      <w:bCs/>
                    </w:rPr>
                    <w:t xml:space="preserve">ELF-2</w:t>
                  </w:r>
                </w:p>
              </w:tc>
              <w:tc>
                <w:tcPr/>
                <w:p>
                  <w:pPr>
                    <w:pStyle w:val="Compact"/>
                    <w:jc w:val="left"/>
                    <w:jc w:val="center"/>
                  </w:pPr>
                  <w:r>
                    <w:t xml:space="preserve">An open dataset: power, throughput and latency at every operating point, board to wall, on current GPUs and production serving software</w:t>
                  </w:r>
                </w:p>
              </w:tc>
              <w:tc>
                <w:tcPr/>
                <w:p>
                  <w:pPr>
                    <w:pStyle w:val="Compact"/>
                    <w:jc w:val="left"/>
                    <w:jc w:val="center"/>
                  </w:pPr>
                  <w:r>
                    <w:t xml:space="preserve">Researchers and vendors, as ground truth; every other deliverable is built and validated on it</w:t>
                  </w:r>
                </w:p>
              </w:tc>
            </w:tr>
            <w:tr>
              <w:tc>
                <w:tcPr/>
                <w:p>
                  <w:pPr>
                    <w:pStyle w:val="Compact"/>
                    <w:jc w:val="left"/>
                    <w:jc w:val="center"/>
                  </w:pPr>
                  <w:r>
                    <w:rPr>
                      <w:b/>
                      <w:bCs/>
                    </w:rPr>
                    <w:t xml:space="preserve">The characterization kit</w:t>
                  </w:r>
                </w:p>
              </w:tc>
              <w:tc>
                <w:tcPr/>
                <w:p>
                  <w:pPr>
                    <w:pStyle w:val="Compact"/>
                    <w:jc w:val="left"/>
                    <w:jc w:val="center"/>
                  </w:pPr>
                  <w:r>
                    <w:t xml:space="preserve">Software plus protocol: a one-test procedure and the two fitted models placing the JP of a new or unmeasured card within the validated hardware domain, in hours</w:t>
                  </w:r>
                </w:p>
              </w:tc>
              <w:tc>
                <w:tcPr/>
                <w:p>
                  <w:pPr>
                    <w:pStyle w:val="Compact"/>
                    <w:jc w:val="left"/>
                    <w:jc w:val="center"/>
                  </w:pPr>
                  <w:r>
                    <w:t xml:space="preserve">A GPU engineer or operator qualifying a new card model or a new serving stack before deployment, at known cost</w:t>
                  </w:r>
                </w:p>
              </w:tc>
            </w:tr>
            <w:tr>
              <w:tc>
                <w:tcPr/>
                <w:p>
                  <w:pPr>
                    <w:pStyle w:val="Compact"/>
                    <w:jc w:val="left"/>
                    <w:jc w:val="center"/>
                  </w:pPr>
                  <w:r>
                    <w:rPr>
                      <w:b/>
                      <w:bCs/>
                    </w:rPr>
                    <w:t xml:space="preserve">The control engine</w:t>
                  </w:r>
                </w:p>
              </w:tc>
              <w:tc>
                <w:tcPr/>
                <w:p>
                  <w:pPr>
                    <w:pStyle w:val="Compact"/>
                    <w:jc w:val="left"/>
                    <w:jc w:val="center"/>
                  </w:pPr>
                  <w:r>
                    <w:t xml:space="preserve">An open-source control engine that assigns jobs and sets caps to keep a fleet inside its envelope, evaluated in the twin and demonstrated on a metered rented server before any deployment</w:t>
                  </w:r>
                </w:p>
              </w:tc>
              <w:tc>
                <w:tcPr/>
                <w:p>
                  <w:pPr>
                    <w:pStyle w:val="Compact"/>
                    <w:jc w:val="left"/>
                    <w:jc w:val="center"/>
                  </w:pPr>
                  <w:r>
                    <w:t xml:space="preserve">An AI data-center manager, to cut energy per job and honor a committed envelope; its report doubles as the compliance record</w:t>
                  </w:r>
                </w:p>
              </w:tc>
            </w:tr>
            <w:tr>
              <w:tc>
                <w:tcPr/>
                <w:p>
                  <w:pPr>
                    <w:pStyle w:val="Compact"/>
                    <w:jc w:val="left"/>
                    <w:jc w:val="center"/>
                  </w:pPr>
                  <w:r>
                    <w:rPr>
                      <w:b/>
                      <w:bCs/>
                    </w:rPr>
                    <w:t xml:space="preserve">The digital twin</w:t>
                  </w:r>
                </w:p>
              </w:tc>
              <w:tc>
                <w:tcPr/>
                <w:p>
                  <w:pPr>
                    <w:pStyle w:val="Compact"/>
                    <w:jc w:val="left"/>
                    <w:jc w:val="center"/>
                  </w:pPr>
                  <w:r>
                    <w:t xml:space="preserve">A simulator replaying the measured curves of a described fleet and job mix, evaluating any policy or envelope scenario exactly before hardware is touched</w:t>
                  </w:r>
                </w:p>
              </w:tc>
              <w:tc>
                <w:tcPr/>
                <w:p>
                  <w:pPr>
                    <w:pStyle w:val="Compact"/>
                    <w:jc w:val="left"/>
                    <w:jc w:val="center"/>
                  </w:pPr>
                  <w:r>
                    <w:t xml:space="preserve">An operator testing policies before deployment; a planner or regulator asking what a proposed facility could deliver and shed under a given connection</w:t>
                  </w:r>
                </w:p>
              </w:tc>
            </w:tr>
            <w:tr>
              <w:tc>
                <w:tcPr/>
                <w:p>
                  <w:pPr>
                    <w:pStyle w:val="Compact"/>
                    <w:jc w:val="left"/>
                    <w:jc w:val="center"/>
                  </w:pPr>
                  <w:r>
                    <w:rPr>
                      <w:b/>
                      <w:bCs/>
                    </w:rPr>
                    <w:t xml:space="preserve">The grid interface and policy report</w:t>
                  </w:r>
                </w:p>
              </w:tc>
              <w:tc>
                <w:tcPr/>
                <w:p>
                  <w:pPr>
                    <w:pStyle w:val="Compact"/>
                    <w:jc w:val="left"/>
                    <w:jc w:val="center"/>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left"/>
                    <w:jc w:val="center"/>
                  </w:pPr>
                  <w:r>
                    <w:t xml:space="preserve">The Electricity Authority and Noga, as the technical basis for offering conditional connections and auditing compliance</w:t>
                  </w:r>
                </w:p>
              </w:tc>
            </w:tr>
          </w:tbl>
          <w:p>
            <w:pPr>
              <w:jc w:val="both"/>
            </w:pPr>
          </w:p>
        </w:tc>
      </w:tr>
    </w:tbl>
    <w:p>
      <w:pPr>
        <w:pStyle w:val="ImageCaption"/>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2026-09-06T10:35:22Z</dcterms:created>
  <dcterms:modified xsi:type="dcterms:W3CDTF">2026-09-06T10:35:22Z</dcterms:modified>
</cp:coreProperties>
</file>

<file path=docProps/custom.xml><?xml version="1.0" encoding="utf-8"?>
<Properties xmlns="http://schemas.openxmlformats.org/officeDocument/2006/custom-properties" xmlns:vt="http://schemas.openxmlformats.org/officeDocument/2006/docPropsVTypes"/>
</file>