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36.png" ContentType="image/png"/>
  <Override PartName="/word/media/rId49.png" ContentType="image/png"/>
  <Override PartName="/word/media/rId53.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Preprint</w:t>
      </w:r>
    </w:p>
    <w:bookmarkStart w:id="20" w:name="segment-where-the-interaction-persists"/>
    <w:p>
      <w:pPr>
        <w:pStyle w:val="Heading1"/>
      </w:pPr>
      <w:r>
        <w:t xml:space="preserve">Segment Where the Interaction Persists</w:t>
      </w:r>
    </w:p>
    <w:p>
      <w:pPr>
        <w:pStyle w:val="FirstParagraph"/>
      </w:pPr>
      <w:r>
        <w:t xml:space="preserve">Planning, Pacing, and a Contention Regime Map for Quota-Constrained Impression Allocation over Fine Audience Segments.</w:t>
      </w:r>
    </w:p>
    <w:p>
      <w:pPr>
        <w:pStyle w:val="BodyText"/>
      </w:pPr>
      <w:r>
        <w:t xml:space="preserve">Alexander Apartsin</w:t>
      </w:r>
      <w:r>
        <w:rPr>
          <w:vertAlign w:val="superscript"/>
        </w:rPr>
        <w:t xml:space="preserve">1</w:t>
      </w:r>
      <w:r>
        <w:t xml:space="preserve"> · Yehudit Aperstein</w:t>
      </w:r>
      <w:r>
        <w:rPr>
          <w:vertAlign w:val="superscript"/>
        </w:rPr>
        <w:t xml:space="preserve">2</w:t>
      </w:r>
    </w:p>
    <w:p>
      <w:pPr>
        <w:pStyle w:val="BodyText"/>
      </w:pPr>
      <w:r>
        <w:rPr>
          <w:vertAlign w:val="superscript"/>
        </w:rPr>
        <w:t xml:space="preserve">1</w:t>
      </w:r>
      <w:r>
        <w:t xml:space="preserve">School of Computer Science, Faculty of Sciences, Holon Institute of Technology (HIT), Holon, Israel</w:t>
      </w:r>
      <w:r>
        <w:br/>
      </w:r>
      <w:r>
        <w:rPr>
          <w:vertAlign w:val="superscript"/>
        </w:rPr>
        <w:t xml:space="preserve">2</w:t>
      </w:r>
      <w:r>
        <w:t xml:space="preserve">Intelligent Systems, Afeka Academic College of Engineering, Tel-Aviv, Israel</w:t>
      </w:r>
    </w:p>
    <w:bookmarkEnd w:id="20"/>
    <w:bookmarkStart w:id="21" w:name="abstract"/>
    <w:p>
      <w:pPr>
        <w:pStyle w:val="Heading2"/>
      </w:pPr>
      <w:r>
        <w:t xml:space="preserve">Abstract</w:t>
      </w:r>
    </w:p>
    <w:p>
      <w:pPr>
        <w:pStyle w:val="FirstParagraph"/>
      </w:pPr>
      <w:r>
        <w:t xml:space="preserve">Under fixed campaign quotas, impression allocation can exploit exactly one statistical object: campaign-by-segment interaction in click-through rate that persists across planning windows. Main effects are neutralized: campaign effects by the quotas, segment effects by supply. We give a pre-committable rule for choosing the segmentation an allocator should use: measure the persistence of double-centered interaction residuals across adjacent planning windows, segment only on the axes that persist, and set granularity in proportion to per-cell data density. On 26.6M impressions of the Taobao display-advertising log, we compute the rule from planning-window data alone, without reference to replay outcomes. It selects the configuration whose replay results match the full ablation ordering: activity tiers pay, demographics and time do not, and finer granularity pays only while cells stay dense. On Avazu the rule ranks axes consistently, and the boundary where a daily plan fails confirms the re-planning timescale it implies. A pre-registered application to a third log (Outbrain), with the configuration frozen before replay, transfers the rule’s persistence ranking and marks its scope: persistence identifies exploitable axes, but contention governs the realized lift. An uncontended market yields little to allocate, whatever the segmentation.</w:t>
      </w:r>
    </w:p>
    <w:p>
      <w:pPr>
        <w:pStyle w:val="BodyText"/>
      </w:pPr>
      <w:r>
        <w:t xml:space="preserve">Evaluation uses a replay protocol hardened against a trap we document: single-model replay inflates lift through a winner’s curse. Dual-model scoring, an exact uniform-null control, support and fatigue audits, and user-clustered inference (headline z = 4.55) delimit what public logs can show, and a semi-synthetic benchmark with a known ground truth confirms the protocol recovers the true policy ranking and the true best policy, even under an adversarial logging policy that selects on the outcome. The protocol yields a regime map. At exact feasibility, plan-informed policies beat greedy serving by 3.5–4.5% expected clicks, and information-matched, feasibility-aware dual-price pacing nearly matches them. Under over-subscription (quotas at 110–150% of supply), online price learning degrades along a spectrum: a scalar controller fails first, and even dual mirror descent, the state-of-the-art adaptive method, tracks the plan through moderate contention but falls below greedy under heavy over-subscription. The periodically re-solved plan dominates every contended regime (+2.2 to +4.3% over greedy, z ≥ 3.4) and is the one price source positive across every contention level, dataset, and objective we test: a fixed dual pinned once at the LP optimum survives the click objective, but under a revenue objective with heterogeneous per-click and per-impression values and delivery penalties it turns negative under contention, so the durable prescription is to obtain prices by solving and re-solving, not by learning them online. The ordering reproduces on a second dataset (Outbrain, 87M impressions), where online pacing deepens to −44%, and the whole regime map transfers to the revenue objective, where the plan tier’s advantage grows as delivery guarantees harden. Grounding the gains in realized outcomes is inconclusive on the small logging-matched subset, an inherent limit of public-log evaluation.</w:t>
      </w:r>
    </w:p>
    <w:bookmarkEnd w:id="21"/>
    <w:bookmarkStart w:id="22" w:name="introduction"/>
    <w:p>
      <w:pPr>
        <w:pStyle w:val="Heading2"/>
      </w:pPr>
      <w:r>
        <w:t xml:space="preserve">1</w:t>
      </w:r>
      <w:r>
        <w:t xml:space="preserve">Introduction</w:t>
      </w:r>
    </w:p>
    <w:p>
      <w:pPr>
        <w:pStyle w:val="FirstParagraph"/>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That class of market, whose originating instance is the mobile-operator system of Section 8 and whose largest current one is retail media, is where this study applies; the public commerce-media log we evaluate on (Taobao) is drawn from inside it, not a distant analog.</w:t>
      </w:r>
    </w:p>
    <w:p>
      <w:pPr>
        <w:pStyle w:val="BodyText"/>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while solving for the prices does not, a result that holds on a second dataset and under a revenue objective with delivery guarantees.</w:t>
      </w:r>
    </w:p>
    <w:p>
      <w:pPr>
        <w:pStyle w:val="BodyText"/>
      </w:pPr>
      <w:r>
        <w:t xml:space="preserve">Together these compose a three-step rule an operator’s planning team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22"/>
    <w:bookmarkStart w:id="26" w:name="the-allocation-problem-a-worked-example"/>
    <w:p>
      <w:pPr>
        <w:pStyle w:val="Heading2"/>
      </w:pPr>
      <w:r>
        <w:t xml:space="preserve">2</w:t>
      </w:r>
      <w:r>
        <w:t xml:space="preserve">The allocation problem: a worked example</w:t>
      </w:r>
    </w:p>
    <w:p>
      <w:pPr>
        <w:pStyle w:val="FirstParagraph"/>
      </w:pPr>
      <w:r>
        <w:t xml:space="preserve">Consider the smallest interesting instance.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Subscriber</w:t>
            </w:r>
          </w:p>
        </w:tc>
        <w:tc>
          <w:tcPr/>
          <w:p>
            <w:pPr>
              <w:pStyle w:val="Compact"/>
              <w:jc w:val="left"/>
            </w:pPr>
            <w:r>
              <w:t xml:space="preserve">P(click | drink)</w:t>
            </w:r>
          </w:p>
        </w:tc>
        <w:tc>
          <w:tcPr/>
          <w:p>
            <w:pPr>
              <w:pStyle w:val="Compact"/>
              <w:jc w:val="left"/>
            </w:pPr>
            <w:r>
              <w:t xml:space="preserve">P(click | car)</w:t>
            </w:r>
          </w:p>
        </w:tc>
      </w:tr>
      <w:tr>
        <w:tc>
          <w:tcPr/>
          <w:p>
            <w:pPr>
              <w:pStyle w:val="Compact"/>
              <w:jc w:val="left"/>
            </w:pPr>
            <w:r>
              <w:t xml:space="preserve">u₁</w:t>
            </w:r>
          </w:p>
        </w:tc>
        <w:tc>
          <w:tcPr/>
          <w:p>
            <w:pPr>
              <w:pStyle w:val="Compact"/>
              <w:jc w:val="left"/>
            </w:pPr>
            <w:r>
              <w:t xml:space="preserve">0.10</w:t>
            </w:r>
          </w:p>
        </w:tc>
        <w:tc>
          <w:tcPr/>
          <w:p>
            <w:pPr>
              <w:pStyle w:val="Compact"/>
              <w:jc w:val="left"/>
            </w:pPr>
            <w:r>
              <w:t xml:space="preserve">0.80</w:t>
            </w:r>
          </w:p>
        </w:tc>
      </w:tr>
      <w:tr>
        <w:tc>
          <w:tcPr/>
          <w:p>
            <w:pPr>
              <w:pStyle w:val="Compact"/>
              <w:jc w:val="left"/>
            </w:pPr>
            <w:r>
              <w:t xml:space="preserve">u₂</w:t>
            </w:r>
          </w:p>
        </w:tc>
        <w:tc>
          <w:tcPr/>
          <w:p>
            <w:pPr>
              <w:pStyle w:val="Compact"/>
              <w:jc w:val="left"/>
            </w:pPr>
            <w:r>
              <w:t xml:space="preserve">0.30</w:t>
            </w:r>
          </w:p>
        </w:tc>
        <w:tc>
          <w:tcPr/>
          <w:p>
            <w:pPr>
              <w:pStyle w:val="Compact"/>
              <w:jc w:val="left"/>
            </w:pPr>
            <w:r>
              <w:t xml:space="preserve">0.50</w:t>
            </w:r>
          </w:p>
        </w:tc>
      </w:tr>
      <w:tr>
        <w:tc>
          <w:tcPr/>
          <w:p>
            <w:pPr>
              <w:pStyle w:val="Compact"/>
              <w:jc w:val="left"/>
            </w:pPr>
            <w:r>
              <w:t xml:space="preserve">u₃</w:t>
            </w:r>
          </w:p>
        </w:tc>
        <w:tc>
          <w:tcPr/>
          <w:p>
            <w:pPr>
              <w:pStyle w:val="Compact"/>
              <w:jc w:val="left"/>
            </w:pPr>
            <w:r>
              <w:t xml:space="preserve">0.20</w:t>
            </w:r>
          </w:p>
        </w:tc>
        <w:tc>
          <w:tcPr/>
          <w:p>
            <w:pPr>
              <w:pStyle w:val="Compact"/>
              <w:jc w:val="left"/>
            </w:pPr>
            <w:r>
              <w:t xml:space="preserve">0.60</w:t>
            </w:r>
          </w:p>
        </w:tc>
      </w:tr>
      <w:tr>
        <w:tc>
          <w:tcPr/>
          <w:p>
            <w:pPr>
              <w:pStyle w:val="Compact"/>
              <w:jc w:val="left"/>
            </w:pPr>
            <w:r>
              <w:t xml:space="preserve">u₄</w:t>
            </w:r>
          </w:p>
        </w:tc>
        <w:tc>
          <w:tcPr/>
          <w:p>
            <w:pPr>
              <w:pStyle w:val="Compact"/>
              <w:jc w:val="left"/>
            </w:pPr>
            <w:r>
              <w:t xml:space="preserve">0.40</w:t>
            </w:r>
          </w:p>
        </w:tc>
        <w:tc>
          <w:tcPr/>
          <w:p>
            <w:pPr>
              <w:pStyle w:val="Compact"/>
              <w:jc w:val="left"/>
            </w:pPr>
            <w:r>
              <w:t xml:space="preserve">0.70</w:t>
            </w:r>
          </w:p>
        </w:tc>
      </w:tr>
    </w:tbl>
    <w:p>
      <w:pPr>
        <w:pStyle w:val="BodyText"/>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222500"/>
                  <wp:effectExtent b="0" l="0" r="0" t="0"/>
                  <wp:docPr descr="" title="" id="24" name="Picture"/>
                  <a:graphic>
                    <a:graphicData uri="http://schemas.openxmlformats.org/drawingml/2006/picture">
                      <pic:pic>
                        <pic:nvPicPr>
                          <pic:cNvPr descr="file:///E:/tmp/claude/E--Projects-Submitted-MobileAd-Comverse/464e82cd-870f-4dc1-b795-92348cf1a9b8/scratchpad/figs/fig1.png" id="25" name="Picture"/>
                          <pic:cNvPicPr>
                            <a:picLocks noChangeArrowheads="1" noChangeAspect="1"/>
                          </pic:cNvPicPr>
                        </pic:nvPicPr>
                        <pic:blipFill>
                          <a:blip r:embed="rId23"/>
                          <a:stretch>
                            <a:fillRect/>
                          </a:stretch>
                        </pic:blipFill>
                        <pic:spPr bwMode="auto">
                          <a:xfrm>
                            <a:off x="0" y="0"/>
                            <a:ext cx="5334000" cy="2222500"/>
                          </a:xfrm>
                          <a:prstGeom prst="rect">
                            <a:avLst/>
                          </a:prstGeom>
                          <a:noFill/>
                          <a:ln w="9525">
                            <a:noFill/>
                            <a:headEnd/>
                            <a:tailEnd/>
                          </a:ln>
                        </pic:spPr>
                      </pic:pic>
                    </a:graphicData>
                  </a:graphic>
                </wp:inline>
              </w:drawing>
            </w:r>
          </w:p>
        </w:tc>
      </w:tr>
    </w:tbl>
    <w:p>
      <w:pPr>
        <w:pStyle w:val="ImageCaption"/>
      </w:pPr>
      <w:r>
        <w:t xml:space="preserve">Figure 1.</w:t>
      </w:r>
      <w:r>
        <w:t xml:space="preserve"> </w:t>
      </w:r>
      <w:r>
        <w:t xml:space="preserve">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26"/>
    <w:bookmarkStart w:id="28" w:name="formulation"/>
    <w:p>
      <w:pPr>
        <w:pStyle w:val="Heading2"/>
      </w:pPr>
      <w:r>
        <w:t xml:space="preserve">3</w:t>
      </w:r>
      <w:r>
        <w:t xml:space="preserve">Formulation</w:t>
      </w:r>
    </w:p>
    <w:p>
      <w:pPr>
        <w:pStyle w:val="FirstParagraph"/>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SourceCode"/>
      </w:pPr>
      <w:r>
        <w:rPr>
          <w:rStyle w:val="VerbatimChar"/>
        </w:rPr>
        <w:t xml:space="preserve">maximize    Σc,s  xc,s · ( rc + qc · pc,s )</w:t>
      </w:r>
      <w:r>
        <w:br/>
      </w:r>
      <w:r>
        <w:br/>
      </w:r>
      <w:r>
        <w:rPr>
          <w:rStyle w:val="VerbatimChar"/>
        </w:rPr>
        <w:t xml:space="preserve">subject to  Σc xc,s  ≤  Hs        (segment supply)</w:t>
      </w:r>
      <w:r>
        <w:br/>
      </w:r>
      <w:r>
        <w:rPr>
          <w:rStyle w:val="VerbatimChar"/>
        </w:rPr>
        <w:t xml:space="preserve">            Σs xc,s  ≤  Qc        (campaign quota)</w:t>
      </w:r>
      <w:r>
        <w:br/>
      </w:r>
      <w:r>
        <w:rPr>
          <w:rStyle w:val="VerbatimChar"/>
        </w:rPr>
        <w:t xml:space="preserve">            xc,s = 0 where targeting excludes (c, s)</w:t>
      </w:r>
      <w:r>
        <w:br/>
      </w:r>
      <w:r>
        <w:rPr>
          <w:rStyle w:val="VerbatimChar"/>
        </w:rPr>
        <w:t xml:space="preserve">            xc,s  ≥  0</w:t>
      </w:r>
    </w:p>
    <w:p>
      <w:pPr>
        <w:pStyle w:val="FirstParagraph"/>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27" w:name="Xb8b18ac5c60ec5742410ace98e579bc138671d3"/>
    <w:p>
      <w:pPr>
        <w:pStyle w:val="Heading3"/>
      </w:pPr>
      <w:r>
        <w:t xml:space="preserve">3.1 Interaction invariance under fixed margins</w:t>
      </w:r>
    </w:p>
    <w:p>
      <w:pPr>
        <w:pStyle w:val="FirstParagraph"/>
      </w:pPr>
      <w:r>
        <w:t xml:space="preserve">The value matrix admits an additive decomposition into a campaign main effect, a segment main effect, and an interaction residual,</w:t>
      </w:r>
    </w:p>
    <w:p>
      <w:pPr>
        <w:pStyle w:val="SourceCode"/>
      </w:pPr>
      <w:r>
        <w:rPr>
          <w:rStyle w:val="VerbatimChar"/>
        </w:rPr>
        <w:t xml:space="preserve">vcs  =  ac  +  bs  +  gcs,</w:t>
      </w:r>
    </w:p>
    <w:p>
      <w:pPr>
        <w:pStyle w:val="FirstParagraph"/>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SourceCode"/>
      </w:pPr>
      <w:r>
        <w:rPr>
          <w:rStyle w:val="VerbatimChar"/>
        </w:rPr>
        <w:t xml:space="preserve">V(x) − V(x′)  =  Σc,s ( xc,s − x′c,s ) · gc,s.</w:t>
      </w:r>
    </w:p>
    <w:p>
      <w:pPr>
        <w:pStyle w:val="FirstParagraph"/>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27"/>
    <w:bookmarkEnd w:id="28"/>
    <w:bookmarkStart w:id="30" w:name="replay-evaluation-protocol"/>
    <w:p>
      <w:pPr>
        <w:pStyle w:val="Heading2"/>
      </w:pPr>
      <w:r>
        <w:t xml:space="preserve">4</w:t>
      </w:r>
      <w:r>
        <w:t xml:space="preserve">Replay evaluation protocol</w:t>
      </w:r>
    </w:p>
    <w:p>
      <w:pPr>
        <w:pStyle w:val="FirstParagraph"/>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does not rest on extrapolated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29" w:name="X888dfabe7f5ac870af14768d223c176646b6318"/>
    <w:p>
      <w:pPr>
        <w:pStyle w:val="Heading3"/>
      </w:pPr>
      <w:r>
        <w:t xml:space="preserve">4.1</w:t>
      </w:r>
      <w:r>
        <w:t xml:space="preserve">Does model-scored replay recover the truth?</w:t>
      </w:r>
    </w:p>
    <w:p>
      <w:pPr>
        <w:pStyle w:val="FirstParagraph"/>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29"/>
    <w:bookmarkEnd w:id="30"/>
    <w:bookmarkStart w:id="31" w:name="the-persistence-rule"/>
    <w:p>
      <w:pPr>
        <w:pStyle w:val="Heading2"/>
      </w:pPr>
      <w:r>
        <w:t xml:space="preserve">5</w:t>
      </w:r>
      <w:r>
        <w:t xml:space="preserve">The persistence rule</w:t>
      </w:r>
    </w:p>
    <w:p>
      <w:pPr>
        <w:pStyle w:val="FirstParagraph"/>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Segmentation axis</w:t>
            </w:r>
          </w:p>
        </w:tc>
        <w:tc>
          <w:tcPr/>
          <w:p>
            <w:pPr>
              <w:pStyle w:val="Compact"/>
              <w:jc w:val="left"/>
            </w:pPr>
            <w:r>
              <w:t xml:space="preserve">Interaction persistence (r)</w:t>
            </w:r>
          </w:p>
        </w:tc>
        <w:tc>
          <w:tcPr/>
          <w:p>
            <w:pPr>
              <w:pStyle w:val="Compact"/>
              <w:jc w:val="left"/>
            </w:pPr>
            <w:r>
              <w:t xml:space="preserve">Interaction size beyond noise</w:t>
            </w:r>
          </w:p>
        </w:tc>
      </w:tr>
      <w:tr>
        <w:tc>
          <w:tcPr/>
          <w:p>
            <w:pPr>
              <w:pStyle w:val="Compact"/>
              <w:jc w:val="left"/>
            </w:pPr>
            <w:r>
              <w:t xml:space="preserve">Activity tier (usage volume)</w:t>
            </w:r>
          </w:p>
        </w:tc>
        <w:tc>
          <w:tcPr/>
          <w:p>
            <w:pPr>
              <w:pStyle w:val="Compact"/>
              <w:jc w:val="left"/>
            </w:pPr>
            <w:r>
              <w:t xml:space="preserve">0.48–0.54</w:t>
            </w:r>
          </w:p>
        </w:tc>
        <w:tc>
          <w:tcPr/>
          <w:p>
            <w:pPr>
              <w:pStyle w:val="Compact"/>
              <w:jc w:val="left"/>
            </w:pPr>
            <w:r>
              <w:t xml:space="preserve">~1pp on a 5.5pp base</w:t>
            </w:r>
          </w:p>
        </w:tc>
      </w:tr>
      <w:tr>
        <w:tc>
          <w:tcPr/>
          <w:p>
            <w:pPr>
              <w:pStyle w:val="Compact"/>
              <w:jc w:val="left"/>
            </w:pPr>
            <w:r>
              <w:t xml:space="preserve">Gender × age</w:t>
            </w:r>
          </w:p>
        </w:tc>
        <w:tc>
          <w:tcPr/>
          <w:p>
            <w:pPr>
              <w:pStyle w:val="Compact"/>
              <w:jc w:val="left"/>
            </w:pPr>
            <w:r>
              <w:t xml:space="preserve">0.28</w:t>
            </w:r>
          </w:p>
        </w:tc>
        <w:tc>
          <w:tcPr/>
          <w:p>
            <w:pPr>
              <w:pStyle w:val="Compact"/>
              <w:jc w:val="left"/>
            </w:pPr>
            <w:r>
              <w:t xml:space="preserve">~0.5pp</w:t>
            </w:r>
          </w:p>
        </w:tc>
      </w:tr>
      <w:tr>
        <w:tc>
          <w:tcPr/>
          <w:p>
            <w:pPr>
              <w:pStyle w:val="Compact"/>
              <w:jc w:val="left"/>
            </w:pPr>
            <w:r>
              <w:t xml:space="preserve">Hour × position slot</w:t>
            </w:r>
          </w:p>
        </w:tc>
        <w:tc>
          <w:tcPr/>
          <w:p>
            <w:pPr>
              <w:pStyle w:val="Compact"/>
              <w:jc w:val="left"/>
            </w:pPr>
            <w:r>
              <w:t xml:space="preserve">0.08</w:t>
            </w:r>
          </w:p>
        </w:tc>
        <w:tc>
          <w:tcPr/>
          <w:p>
            <w:pPr>
              <w:pStyle w:val="Compact"/>
              <w:jc w:val="left"/>
            </w:pPr>
            <w:r>
              <w:t xml:space="preserve">~0</w:t>
            </w:r>
          </w:p>
        </w:tc>
      </w:tr>
    </w:tbl>
    <w:p>
      <w:pPr>
        <w:pStyle w:val="BodyText"/>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Segments</w:t>
            </w:r>
          </w:p>
        </w:tc>
        <w:tc>
          <w:tcPr/>
          <w:p>
            <w:pPr>
              <w:pStyle w:val="Compact"/>
              <w:jc w:val="left"/>
            </w:pPr>
            <w:r>
              <w:t xml:space="preserve">Count</w:t>
            </w:r>
          </w:p>
        </w:tc>
        <w:tc>
          <w:tcPr/>
          <w:p>
            <w:pPr>
              <w:pStyle w:val="Compact"/>
              <w:jc w:val="left"/>
            </w:pPr>
            <w:r>
              <w:t xml:space="preserve">Planned vs greedy</w:t>
            </w:r>
          </w:p>
        </w:tc>
        <w:tc>
          <w:tcPr/>
          <w:p>
            <w:pPr>
              <w:pStyle w:val="Compact"/>
              <w:jc w:val="left"/>
            </w:pPr>
            <w:r>
              <w:t xml:space="preserve">z</w:t>
            </w:r>
          </w:p>
        </w:tc>
        <w:tc>
          <w:tcPr/>
          <w:p>
            <w:pPr>
              <w:pStyle w:val="Compact"/>
              <w:jc w:val="left"/>
            </w:pPr>
            <w:r>
              <w:t xml:space="preserve">Planned vs adaptive pacing</w:t>
            </w:r>
          </w:p>
        </w:tc>
        <w:tc>
          <w:tcPr/>
          <w:p>
            <w:pPr>
              <w:pStyle w:val="Compact"/>
              <w:jc w:val="left"/>
            </w:pPr>
            <w:r>
              <w:t xml:space="preserve">z</w:t>
            </w:r>
          </w:p>
        </w:tc>
      </w:tr>
      <w:tr>
        <w:tc>
          <w:tcPr/>
          <w:p>
            <w:pPr>
              <w:pStyle w:val="Compact"/>
              <w:jc w:val="left"/>
            </w:pPr>
            <w:r>
              <w:rPr>
                <w:b/>
                <w:bCs/>
              </w:rPr>
              <w:t xml:space="preserve">Activity, 8 tiers (pre-committed)</w:t>
            </w:r>
          </w:p>
        </w:tc>
        <w:tc>
          <w:tcPr/>
          <w:p>
            <w:pPr>
              <w:pStyle w:val="Compact"/>
              <w:jc w:val="left"/>
            </w:pPr>
            <w:r>
              <w:t xml:space="preserve">8</w:t>
            </w:r>
          </w:p>
        </w:tc>
        <w:tc>
          <w:tcPr/>
          <w:p>
            <w:pPr>
              <w:pStyle w:val="Compact"/>
              <w:jc w:val="left"/>
            </w:pPr>
            <w:r>
              <w:rPr>
                <w:b/>
                <w:bCs/>
              </w:rPr>
              <w:t xml:space="preserve">+3.46% ± 0.69pp</w:t>
            </w:r>
          </w:p>
        </w:tc>
        <w:tc>
          <w:tcPr/>
          <w:p>
            <w:pPr>
              <w:pStyle w:val="Compact"/>
              <w:jc w:val="left"/>
            </w:pPr>
            <w:r>
              <w:t xml:space="preserve">+5.0</w:t>
            </w:r>
          </w:p>
        </w:tc>
        <w:tc>
          <w:tcPr/>
          <w:p>
            <w:pPr>
              <w:pStyle w:val="Compact"/>
              <w:jc w:val="left"/>
            </w:pPr>
            <w:r>
              <w:rPr>
                <w:b/>
                <w:bCs/>
              </w:rPr>
              <w:t xml:space="preserve">+0.92% ± 0.47pp</w:t>
            </w:r>
          </w:p>
        </w:tc>
        <w:tc>
          <w:tcPr/>
          <w:p>
            <w:pPr>
              <w:pStyle w:val="Compact"/>
              <w:jc w:val="left"/>
            </w:pPr>
            <w:r>
              <w:t xml:space="preserve">+2.0</w:t>
            </w:r>
          </w:p>
        </w:tc>
      </w:tr>
      <w:tr>
        <w:tc>
          <w:tcPr/>
          <w:p>
            <w:pPr>
              <w:pStyle w:val="Compact"/>
              <w:jc w:val="left"/>
            </w:pPr>
            <w:r>
              <w:t xml:space="preserve">Activity, 4 tiers</w:t>
            </w:r>
          </w:p>
        </w:tc>
        <w:tc>
          <w:tcPr/>
          <w:p>
            <w:pPr>
              <w:pStyle w:val="Compact"/>
              <w:jc w:val="left"/>
            </w:pPr>
            <w:r>
              <w:t xml:space="preserve">4</w:t>
            </w:r>
          </w:p>
        </w:tc>
        <w:tc>
          <w:tcPr/>
          <w:p>
            <w:pPr>
              <w:pStyle w:val="Compact"/>
              <w:jc w:val="left"/>
            </w:pPr>
            <w:r>
              <w:t xml:space="preserve">+2.51% ± 0.50pp</w:t>
            </w:r>
          </w:p>
        </w:tc>
        <w:tc>
          <w:tcPr/>
          <w:p>
            <w:pPr>
              <w:pStyle w:val="Compact"/>
              <w:jc w:val="left"/>
            </w:pPr>
            <w:r>
              <w:t xml:space="preserve">+5.0</w:t>
            </w:r>
          </w:p>
        </w:tc>
        <w:tc>
          <w:tcPr/>
          <w:p>
            <w:pPr>
              <w:pStyle w:val="Compact"/>
              <w:jc w:val="left"/>
            </w:pPr>
            <w:r>
              <w:t xml:space="preserve">+1.15% ± 0.31pp</w:t>
            </w:r>
          </w:p>
        </w:tc>
        <w:tc>
          <w:tcPr/>
          <w:p>
            <w:pPr>
              <w:pStyle w:val="Compact"/>
              <w:jc w:val="left"/>
            </w:pPr>
            <w:r>
              <w:t xml:space="preserve">+3.7</w:t>
            </w:r>
          </w:p>
        </w:tc>
      </w:tr>
      <w:tr>
        <w:tc>
          <w:tcPr/>
          <w:p>
            <w:pPr>
              <w:pStyle w:val="Compact"/>
              <w:jc w:val="left"/>
            </w:pPr>
            <w:r>
              <w:t xml:space="preserve">Tier × demographics</w:t>
            </w:r>
          </w:p>
        </w:tc>
        <w:tc>
          <w:tcPr/>
          <w:p>
            <w:pPr>
              <w:pStyle w:val="Compact"/>
              <w:jc w:val="left"/>
            </w:pPr>
            <w:r>
              <w:t xml:space="preserve">168</w:t>
            </w:r>
          </w:p>
        </w:tc>
        <w:tc>
          <w:tcPr/>
          <w:p>
            <w:pPr>
              <w:pStyle w:val="Compact"/>
              <w:jc w:val="left"/>
            </w:pPr>
            <w:r>
              <w:t xml:space="preserve">+1.93% ± 0.91pp</w:t>
            </w:r>
          </w:p>
        </w:tc>
        <w:tc>
          <w:tcPr/>
          <w:p>
            <w:pPr>
              <w:pStyle w:val="Compact"/>
              <w:jc w:val="left"/>
            </w:pPr>
            <w:r>
              <w:t xml:space="preserve">+2.1</w:t>
            </w:r>
          </w:p>
        </w:tc>
        <w:tc>
          <w:tcPr/>
          <w:p>
            <w:pPr>
              <w:pStyle w:val="Compact"/>
              <w:jc w:val="left"/>
            </w:pPr>
            <w:r>
              <w:t xml:space="preserve">+0.40%</w:t>
            </w:r>
          </w:p>
        </w:tc>
        <w:tc>
          <w:tcPr/>
          <w:p>
            <w:pPr>
              <w:pStyle w:val="Compact"/>
              <w:jc w:val="left"/>
            </w:pPr>
            <w:r>
              <w:t xml:space="preserve">+0.6</w:t>
            </w:r>
          </w:p>
        </w:tc>
      </w:tr>
      <w:tr>
        <w:tc>
          <w:tcPr/>
          <w:p>
            <w:pPr>
              <w:pStyle w:val="Compact"/>
              <w:jc w:val="left"/>
            </w:pPr>
            <w:r>
              <w:t xml:space="preserve">Demographics only</w:t>
            </w:r>
          </w:p>
        </w:tc>
        <w:tc>
          <w:tcPr/>
          <w:p>
            <w:pPr>
              <w:pStyle w:val="Compact"/>
              <w:jc w:val="left"/>
            </w:pPr>
            <w:r>
              <w:t xml:space="preserve">48</w:t>
            </w:r>
          </w:p>
        </w:tc>
        <w:tc>
          <w:tcPr/>
          <w:p>
            <w:pPr>
              <w:pStyle w:val="Compact"/>
              <w:jc w:val="left"/>
            </w:pPr>
            <w:r>
              <w:t xml:space="preserve">−0.20% ± 0.61pp</w:t>
            </w:r>
          </w:p>
        </w:tc>
        <w:tc>
          <w:tcPr/>
          <w:p>
            <w:pPr>
              <w:pStyle w:val="Compact"/>
              <w:jc w:val="left"/>
            </w:pPr>
            <w:r>
              <w:t xml:space="preserve">−0.3</w:t>
            </w:r>
          </w:p>
        </w:tc>
        <w:tc>
          <w:tcPr/>
          <w:p>
            <w:pPr>
              <w:pStyle w:val="Compact"/>
              <w:jc w:val="left"/>
            </w:pPr>
            <w:r>
              <w:t xml:space="preserve">+0.46%</w:t>
            </w:r>
          </w:p>
        </w:tc>
        <w:tc>
          <w:tcPr/>
          <w:p>
            <w:pPr>
              <w:pStyle w:val="Compact"/>
              <w:jc w:val="left"/>
            </w:pPr>
            <w:r>
              <w:t xml:space="preserve">+1.1</w:t>
            </w:r>
          </w:p>
        </w:tc>
      </w:tr>
    </w:tbl>
    <w:p>
      <w:pPr>
        <w:pStyle w:val="BodyText"/>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pPr>
      <w:r>
        <w:t xml:space="preserve">These two components combine into a single selection procedure that runs on planning-window data alone and returns a segmentation, or abstains, before any serving outcome is seen.</w:t>
      </w:r>
    </w:p>
    <w:p>
      <w:pPr>
        <w:pStyle w:val="BodyText"/>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SourceCode"/>
      </w:pPr>
      <w:r>
        <w:rPr>
          <w:rStyle w:val="VerbatimChar"/>
        </w:rPr>
        <w:t xml:space="preserve">d* = max { d : median(c,s): xplancs&gt;0 Ntraincs  ≥  nmin },   nmin ≈ p̄(1−p̄) / σγ2,</w:t>
      </w:r>
    </w:p>
    <w:p>
      <w:pPr>
        <w:pStyle w:val="FirstParagraph"/>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31"/>
    <w:bookmarkStart w:id="35" w:name="the-regime-map"/>
    <w:p>
      <w:pPr>
        <w:pStyle w:val="Heading2"/>
      </w:pPr>
      <w:r>
        <w:t xml:space="preserve">6</w:t>
      </w:r>
      <w:r>
        <w:t xml:space="preserve">The regime map</w:t>
      </w:r>
    </w:p>
    <w:p>
      <w:pPr>
        <w:pStyle w:val="FirstParagraph"/>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Quota scale</w:t>
            </w:r>
          </w:p>
        </w:tc>
        <w:tc>
          <w:tcPr/>
          <w:p>
            <w:pPr>
              <w:pStyle w:val="Compact"/>
              <w:jc w:val="left"/>
            </w:pPr>
            <w:r>
              <w:t xml:space="preserve">Static plan</w:t>
            </w:r>
          </w:p>
        </w:tc>
        <w:tc>
          <w:tcPr/>
          <w:p>
            <w:pPr>
              <w:pStyle w:val="Compact"/>
              <w:jc w:val="left"/>
            </w:pPr>
            <w:r>
              <w:t xml:space="preserve">Re-solved plan</w:t>
            </w:r>
          </w:p>
        </w:tc>
        <w:tc>
          <w:tcPr/>
          <w:p>
            <w:pPr>
              <w:pStyle w:val="Compact"/>
              <w:jc w:val="left"/>
            </w:pPr>
            <w:r>
              <w:t xml:space="preserve">Fixed optimal dual</w:t>
            </w:r>
          </w:p>
        </w:tc>
        <w:tc>
          <w:tcPr/>
          <w:p>
            <w:pPr>
              <w:pStyle w:val="Compact"/>
              <w:jc w:val="left"/>
            </w:pPr>
            <w:r>
              <w:t xml:space="preserve">DMD, entropic</w:t>
            </w:r>
          </w:p>
        </w:tc>
        <w:tc>
          <w:tcPr/>
          <w:p>
            <w:pPr>
              <w:pStyle w:val="Compact"/>
              <w:jc w:val="left"/>
            </w:pPr>
            <w:r>
              <w:t xml:space="preserve">DMD, Euclidean</w:t>
            </w:r>
          </w:p>
        </w:tc>
        <w:tc>
          <w:tcPr/>
          <w:p>
            <w:pPr>
              <w:pStyle w:val="Compact"/>
              <w:jc w:val="left"/>
            </w:pPr>
            <w:r>
              <w:t xml:space="preserve">Scalar pacing</w:t>
            </w:r>
          </w:p>
        </w:tc>
      </w:tr>
      <w:tr>
        <w:tc>
          <w:tcPr/>
          <w:p>
            <w:pPr>
              <w:pStyle w:val="Compact"/>
              <w:jc w:val="left"/>
            </w:pPr>
            <w:r>
              <w:t xml:space="preserve">1.0</w:t>
            </w:r>
          </w:p>
        </w:tc>
        <w:tc>
          <w:tcPr/>
          <w:p>
            <w:pPr>
              <w:pStyle w:val="Compact"/>
              <w:jc w:val="left"/>
            </w:pPr>
            <w:r>
              <w:t xml:space="preserve">+3.46% (5.0)</w:t>
            </w:r>
          </w:p>
        </w:tc>
        <w:tc>
          <w:tcPr/>
          <w:p>
            <w:pPr>
              <w:pStyle w:val="Compact"/>
              <w:jc w:val="left"/>
            </w:pPr>
            <w:r>
              <w:t xml:space="preserve">+4.27% (6.1)</w:t>
            </w:r>
          </w:p>
        </w:tc>
        <w:tc>
          <w:tcPr/>
          <w:p>
            <w:pPr>
              <w:pStyle w:val="Compact"/>
              <w:jc w:val="left"/>
            </w:pPr>
            <w:r>
              <w:t xml:space="preserve">+4.45% (6.4)</w:t>
            </w:r>
          </w:p>
        </w:tc>
        <w:tc>
          <w:tcPr/>
          <w:p>
            <w:pPr>
              <w:pStyle w:val="Compact"/>
              <w:jc w:val="left"/>
            </w:pPr>
            <w:r>
              <w:t xml:space="preserve">+4.54% (6.8)</w:t>
            </w:r>
          </w:p>
        </w:tc>
        <w:tc>
          <w:tcPr/>
          <w:p>
            <w:pPr>
              <w:pStyle w:val="Compact"/>
              <w:jc w:val="left"/>
            </w:pPr>
            <w:r>
              <w:t xml:space="preserve">+4.73% (7.1)</w:t>
            </w:r>
          </w:p>
        </w:tc>
        <w:tc>
          <w:tcPr/>
          <w:p>
            <w:pPr>
              <w:pStyle w:val="Compact"/>
              <w:jc w:val="left"/>
            </w:pPr>
            <w:r>
              <w:t xml:space="preserve">+3.86% (6.3)</w:t>
            </w:r>
          </w:p>
        </w:tc>
      </w:tr>
      <w:tr>
        <w:tc>
          <w:tcPr/>
          <w:p>
            <w:pPr>
              <w:pStyle w:val="Compact"/>
              <w:jc w:val="left"/>
            </w:pPr>
            <w:r>
              <w:t xml:space="preserve">1.1</w:t>
            </w:r>
          </w:p>
        </w:tc>
        <w:tc>
          <w:tcPr/>
          <w:p>
            <w:pPr>
              <w:pStyle w:val="Compact"/>
              <w:jc w:val="left"/>
            </w:pPr>
            <w:r>
              <w:t xml:space="preserve">+2.16% (3.1)</w:t>
            </w:r>
          </w:p>
        </w:tc>
        <w:tc>
          <w:tcPr/>
          <w:p>
            <w:pPr>
              <w:pStyle w:val="Compact"/>
              <w:jc w:val="left"/>
            </w:pPr>
            <w:r>
              <w:t xml:space="preserve">+3.49% (5.2)</w:t>
            </w:r>
          </w:p>
        </w:tc>
        <w:tc>
          <w:tcPr/>
          <w:p>
            <w:pPr>
              <w:pStyle w:val="Compact"/>
              <w:jc w:val="left"/>
            </w:pPr>
            <w:r>
              <w:t xml:space="preserve">+2.41% (3.8)</w:t>
            </w:r>
          </w:p>
        </w:tc>
        <w:tc>
          <w:tcPr/>
          <w:p>
            <w:pPr>
              <w:pStyle w:val="Compact"/>
              <w:jc w:val="left"/>
            </w:pPr>
            <w:r>
              <w:t xml:space="preserve">+3.62% (5.7)</w:t>
            </w:r>
          </w:p>
        </w:tc>
        <w:tc>
          <w:tcPr/>
          <w:p>
            <w:pPr>
              <w:pStyle w:val="Compact"/>
              <w:jc w:val="left"/>
            </w:pPr>
            <w:r>
              <w:t xml:space="preserve">+2.65% (4.3)</w:t>
            </w:r>
          </w:p>
        </w:tc>
        <w:tc>
          <w:tcPr/>
          <w:p>
            <w:pPr>
              <w:pStyle w:val="Compact"/>
              <w:jc w:val="left"/>
            </w:pPr>
            <w:r>
              <w:t xml:space="preserve">+0.73% (1.4)</w:t>
            </w:r>
          </w:p>
        </w:tc>
      </w:tr>
      <w:tr>
        <w:tc>
          <w:tcPr/>
          <w:p>
            <w:pPr>
              <w:pStyle w:val="Compact"/>
              <w:jc w:val="left"/>
            </w:pPr>
            <w:r>
              <w:t xml:space="preserve">1.25</w:t>
            </w:r>
          </w:p>
        </w:tc>
        <w:tc>
          <w:tcPr/>
          <w:p>
            <w:pPr>
              <w:pStyle w:val="Compact"/>
              <w:jc w:val="left"/>
            </w:pPr>
            <w:r>
              <w:t xml:space="preserve">+1.56% (2.2)</w:t>
            </w:r>
          </w:p>
        </w:tc>
        <w:tc>
          <w:tcPr/>
          <w:p>
            <w:pPr>
              <w:pStyle w:val="Compact"/>
              <w:jc w:val="left"/>
            </w:pPr>
            <w:r>
              <w:t xml:space="preserve">+3.39% (5.2)</w:t>
            </w:r>
          </w:p>
        </w:tc>
        <w:tc>
          <w:tcPr/>
          <w:p>
            <w:pPr>
              <w:pStyle w:val="Compact"/>
              <w:jc w:val="left"/>
            </w:pPr>
            <w:r>
              <w:t xml:space="preserve">+3.05% (4.9)</w:t>
            </w:r>
          </w:p>
        </w:tc>
        <w:tc>
          <w:tcPr/>
          <w:p>
            <w:pPr>
              <w:pStyle w:val="Compact"/>
              <w:jc w:val="left"/>
            </w:pPr>
            <w:r>
              <w:t xml:space="preserve">+3.06% (5.4)</w:t>
            </w:r>
          </w:p>
        </w:tc>
        <w:tc>
          <w:tcPr/>
          <w:p>
            <w:pPr>
              <w:pStyle w:val="Compact"/>
              <w:jc w:val="left"/>
            </w:pPr>
            <w:r>
              <w:t xml:space="preserve">−0.25% (−0.4)</w:t>
            </w:r>
          </w:p>
        </w:tc>
        <w:tc>
          <w:tcPr/>
          <w:p>
            <w:pPr>
              <w:pStyle w:val="Compact"/>
              <w:jc w:val="left"/>
            </w:pPr>
            <w:r>
              <w:t xml:space="preserve">−2.25% (−4.0)</w:t>
            </w:r>
          </w:p>
        </w:tc>
      </w:tr>
      <w:tr>
        <w:tc>
          <w:tcPr/>
          <w:p>
            <w:pPr>
              <w:pStyle w:val="Compact"/>
              <w:jc w:val="left"/>
            </w:pPr>
            <w:r>
              <w:t xml:space="preserve">1.5</w:t>
            </w:r>
          </w:p>
        </w:tc>
        <w:tc>
          <w:tcPr/>
          <w:p>
            <w:pPr>
              <w:pStyle w:val="Compact"/>
              <w:jc w:val="left"/>
            </w:pPr>
            <w:r>
              <w:t xml:space="preserve">+0.28% (0.4)</w:t>
            </w:r>
          </w:p>
        </w:tc>
        <w:tc>
          <w:tcPr/>
          <w:p>
            <w:pPr>
              <w:pStyle w:val="Compact"/>
              <w:jc w:val="left"/>
            </w:pPr>
            <w:r>
              <w:t xml:space="preserve">+2.22% (3.4)</w:t>
            </w:r>
          </w:p>
        </w:tc>
        <w:tc>
          <w:tcPr/>
          <w:p>
            <w:pPr>
              <w:pStyle w:val="Compact"/>
              <w:jc w:val="left"/>
            </w:pPr>
            <w:r>
              <w:t xml:space="preserve">+1.49% (2.4)</w:t>
            </w:r>
          </w:p>
        </w:tc>
        <w:tc>
          <w:tcPr/>
          <w:p>
            <w:pPr>
              <w:pStyle w:val="Compact"/>
              <w:jc w:val="left"/>
            </w:pPr>
            <w:r>
              <w:t xml:space="preserve">−0.52% (−0.9)</w:t>
            </w:r>
          </w:p>
        </w:tc>
        <w:tc>
          <w:tcPr/>
          <w:p>
            <w:pPr>
              <w:pStyle w:val="Compact"/>
              <w:jc w:val="left"/>
            </w:pPr>
            <w:r>
              <w:t xml:space="preserve">−4.76% (−7.2)</w:t>
            </w:r>
          </w:p>
        </w:tc>
        <w:tc>
          <w:tcPr/>
          <w:p>
            <w:pPr>
              <w:pStyle w:val="Compact"/>
              <w:jc w:val="left"/>
            </w:pPr>
            <w:r>
              <w:t xml:space="preserve">−6.88% (−11.2)</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92916"/>
                  <wp:effectExtent b="0" l="0" r="0" t="0"/>
                  <wp:docPr descr="" title="" id="33" name="Picture"/>
                  <a:graphic>
                    <a:graphicData uri="http://schemas.openxmlformats.org/drawingml/2006/picture">
                      <pic:pic>
                        <pic:nvPicPr>
                          <pic:cNvPr descr="file:///E:/tmp/claude/E--Projects-Submitted-MobileAd-Comverse/464e82cd-870f-4dc1-b795-92348cf1a9b8/scratchpad/figs/fig2.png" id="34" name="Picture"/>
                          <pic:cNvPicPr>
                            <a:picLocks noChangeArrowheads="1" noChangeAspect="1"/>
                          </pic:cNvPicPr>
                        </pic:nvPicPr>
                        <pic:blipFill>
                          <a:blip r:embed="rId32"/>
                          <a:stretch>
                            <a:fillRect/>
                          </a:stretch>
                        </pic:blipFill>
                        <pic:spPr bwMode="auto">
                          <a:xfrm>
                            <a:off x="0" y="0"/>
                            <a:ext cx="5334000" cy="2592916"/>
                          </a:xfrm>
                          <a:prstGeom prst="rect">
                            <a:avLst/>
                          </a:prstGeom>
                          <a:noFill/>
                          <a:ln w="9525">
                            <a:noFill/>
                            <a:headEnd/>
                            <a:tailEnd/>
                          </a:ln>
                        </pic:spPr>
                      </pic:pic>
                    </a:graphicData>
                  </a:graphic>
                </wp:inline>
              </w:drawing>
            </w:r>
          </w:p>
        </w:tc>
      </w:tr>
    </w:tbl>
    <w:p>
      <w:pPr>
        <w:pStyle w:val="ImageCaption"/>
      </w:pPr>
      <w:r>
        <w:t xml:space="preserve">Figure 2.</w:t>
      </w:r>
      <w:r>
        <w:t xml:space="preserve"> </w:t>
      </w:r>
      <w:r>
        <w:t xml:space="preserve">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pPr>
      <w:r>
        <w:t xml:space="preserve">The dual-price baselines are given every advantage: their step size is tuned on held-out planning-window traffic, the warm variant is initialized from the plan LP’s own quota shadow prices, and, so the comparison is not rigged by an unreachable target,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so the comparison is not against a straw controller; the earlier scalar quota-error controller is retained as a practical baseline.</w:t>
      </w:r>
    </w:p>
    <w:p>
      <w:pPr>
        <w:pStyle w:val="BodyText"/>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each carefully scoped. First, the failure under heavy over-subscription is shared by every adaptive dual-price method we test, modern mirror descent included, not an artifact of a weak controller;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is the more fragile of the two: the revenue objective below will show the one-shot optimal dual is not universally robust, since a price vector solved once against the fluid plan can misprice campaigns when the realized arrival order departs from it. The claim that survives every objective and every dataset we test is therefore narrower and sharper than “fixed prices work”: prices should be</w:t>
      </w:r>
      <w:r>
        <w:t xml:space="preserve"> </w:t>
      </w:r>
      <w:r>
        <w:rPr>
          <w:i/>
          <w:iCs/>
        </w:rPr>
        <w:t xml:space="preserve">obtained by solving</w:t>
      </w:r>
      <w:r>
        <w:t xml:space="preserve">, and re-solving on the pacing cadence is the only price source that is positive in every regime, objective, and market we measure.</w:t>
      </w:r>
    </w:p>
    <w:p>
      <w:pPr>
        <w:pStyle w:val="BodyText"/>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itself a</w:t>
      </w:r>
      <w:r>
        <w:t xml:space="preserve"> </w:t>
      </w:r>
      <w:r>
        <w:rPr>
          <w:i/>
          <w:iCs/>
        </w:rPr>
        <w:t xml:space="preserve">measurable</w:t>
      </w:r>
      <w:r>
        <w:t xml:space="preserve"> </w:t>
      </w:r>
      <w:r>
        <w:t xml:space="preserve">quantity, not a post-hoc excuse: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35"/>
    <w:bookmarkStart w:id="39" w:name="simulation-as-calibration"/>
    <w:p>
      <w:pPr>
        <w:pStyle w:val="Heading2"/>
      </w:pPr>
      <w:r>
        <w:t xml:space="preserve">7</w:t>
      </w:r>
      <w:r>
        <w:t xml:space="preserve">Simulation as calibration</w:t>
      </w:r>
    </w:p>
    <w:p>
      <w:pPr>
        <w:pStyle w:val="FirstParagraph"/>
      </w:pPr>
      <w:r>
        <w:t xml:space="preserve">Before any real log is replayed, a fully synthetic market calibrates the harness where ground truth is known.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 (20 replications)</w:t>
            </w:r>
          </w:p>
        </w:tc>
        <w:tc>
          <w:tcPr/>
          <w:p>
            <w:pPr>
              <w:pStyle w:val="Compact"/>
              <w:jc w:val="left"/>
            </w:pPr>
            <w:r>
              <w:t xml:space="preserve">Mean</w:t>
            </w:r>
          </w:p>
        </w:tc>
        <w:tc>
          <w:tcPr/>
          <w:p>
            <w:pPr>
              <w:pStyle w:val="Compact"/>
              <w:jc w:val="left"/>
            </w:pPr>
            <w:r>
              <w:t xml:space="preserve">Range</w:t>
            </w:r>
          </w:p>
        </w:tc>
      </w:tr>
      <w:tr>
        <w:tc>
          <w:tcPr/>
          <w:p>
            <w:pPr>
              <w:pStyle w:val="Compact"/>
              <w:jc w:val="left"/>
            </w:pPr>
            <w:r>
              <w:t xml:space="preserve">Revenue lift, planned over greedy</w:t>
            </w:r>
          </w:p>
        </w:tc>
        <w:tc>
          <w:tcPr/>
          <w:p>
            <w:pPr>
              <w:pStyle w:val="Compact"/>
              <w:jc w:val="left"/>
            </w:pPr>
            <w:r>
              <w:t xml:space="preserve">+6.5%</w:t>
            </w:r>
          </w:p>
        </w:tc>
        <w:tc>
          <w:tcPr/>
          <w:p>
            <w:pPr>
              <w:pStyle w:val="Compact"/>
              <w:jc w:val="left"/>
            </w:pPr>
            <w:r>
              <w:t xml:space="preserve">+4.1% to +8.8%</w:t>
            </w:r>
          </w:p>
        </w:tc>
      </w:tr>
      <w:tr>
        <w:tc>
          <w:tcPr/>
          <w:p>
            <w:pPr>
              <w:pStyle w:val="Compact"/>
              <w:jc w:val="left"/>
            </w:pPr>
            <w:r>
              <w:t xml:space="preserve">Expected-click lift, planned over greedy</w:t>
            </w:r>
          </w:p>
        </w:tc>
        <w:tc>
          <w:tcPr/>
          <w:p>
            <w:pPr>
              <w:pStyle w:val="Compact"/>
              <w:jc w:val="left"/>
            </w:pPr>
            <w:r>
              <w:t xml:space="preserve">+33.0%</w:t>
            </w:r>
          </w:p>
        </w:tc>
        <w:tc>
          <w:tcPr/>
          <w:p>
            <w:pPr>
              <w:pStyle w:val="Compact"/>
              <w:jc w:val="left"/>
            </w:pPr>
            <w:r>
              <w:t xml:space="preserve">+22.9% to +40.6%</w:t>
            </w:r>
          </w:p>
        </w:tc>
      </w:tr>
      <w:tr>
        <w:tc>
          <w:tcPr/>
          <w:p>
            <w:pPr>
              <w:pStyle w:val="Compact"/>
              <w:jc w:val="left"/>
            </w:pPr>
            <w:r>
              <w:t xml:space="preserve">Planned revenue as share of hindsight bound</w:t>
            </w:r>
          </w:p>
        </w:tc>
        <w:tc>
          <w:tcPr/>
          <w:p>
            <w:pPr>
              <w:pStyle w:val="Compact"/>
              <w:jc w:val="left"/>
            </w:pPr>
            <w:r>
              <w:t xml:space="preserve">93.8%</w:t>
            </w:r>
          </w:p>
        </w:tc>
        <w:tc>
          <w:tcPr/>
          <w:p>
            <w:pPr>
              <w:pStyle w:val="Compact"/>
              <w:jc w:val="left"/>
            </w:pPr>
            <w:r>
              <w:t xml:space="preserve">≥ 91.7%</w:t>
            </w:r>
          </w:p>
        </w:tc>
      </w:tr>
      <w:tr>
        <w:tc>
          <w:tcPr/>
          <w:p>
            <w:pPr>
              <w:pStyle w:val="Compact"/>
              <w:jc w:val="left"/>
            </w:pPr>
            <w:r>
              <w:t xml:space="preserve">Greedy revenue as share of hindsight bound</w:t>
            </w:r>
          </w:p>
        </w:tc>
        <w:tc>
          <w:tcPr/>
          <w:p>
            <w:pPr>
              <w:pStyle w:val="Compact"/>
              <w:jc w:val="left"/>
            </w:pPr>
            <w:r>
              <w:t xml:space="preserve">88.1%</w:t>
            </w:r>
          </w:p>
        </w:tc>
        <w:tc>
          <w:tcPr/>
          <w:p>
            <w:pPr>
              <w:pStyle w:val="Compact"/>
              <w:jc w:val="left"/>
            </w:pPr>
            <w:r>
              <w:t xml:space="preserve">≥ 85.4%</w:t>
            </w:r>
          </w:p>
        </w:tc>
      </w:tr>
      <w:tr>
        <w:tc>
          <w:tcPr/>
          <w:p>
            <w:pPr>
              <w:pStyle w:val="Compact"/>
              <w:jc w:val="left"/>
            </w:pPr>
            <w:r>
              <w:t xml:space="preserve">Quota fill, both policies</w:t>
            </w:r>
          </w:p>
        </w:tc>
        <w:tc>
          <w:tcPr/>
          <w:p>
            <w:pPr>
              <w:pStyle w:val="Compact"/>
              <w:jc w:val="left"/>
            </w:pPr>
            <w:r>
              <w:t xml:space="preserve">100%</w:t>
            </w:r>
          </w:p>
        </w:tc>
        <w:tc>
          <w:tcPr/>
          <w:p>
            <w:pPr>
              <w:pStyle w:val="Compact"/>
              <w:jc w:val="left"/>
            </w:pPr>
            <w:r>
              <w:t xml:space="preserve">all replications</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370666"/>
                  <wp:effectExtent b="0" l="0" r="0" t="0"/>
                  <wp:docPr descr="" title="" id="37" name="Picture"/>
                  <a:graphic>
                    <a:graphicData uri="http://schemas.openxmlformats.org/drawingml/2006/picture">
                      <pic:pic>
                        <pic:nvPicPr>
                          <pic:cNvPr descr="file:///E:/tmp/claude/E--Projects-Submitted-MobileAd-Comverse/464e82cd-870f-4dc1-b795-92348cf1a9b8/scratchpad/figs/fig3.png" id="38" name="Picture"/>
                          <pic:cNvPicPr>
                            <a:picLocks noChangeArrowheads="1" noChangeAspect="1"/>
                          </pic:cNvPicPr>
                        </pic:nvPicPr>
                        <pic:blipFill>
                          <a:blip r:embed="rId36"/>
                          <a:stretch>
                            <a:fillRect/>
                          </a:stretch>
                        </pic:blipFill>
                        <pic:spPr bwMode="auto">
                          <a:xfrm>
                            <a:off x="0" y="0"/>
                            <a:ext cx="5334000" cy="2370666"/>
                          </a:xfrm>
                          <a:prstGeom prst="rect">
                            <a:avLst/>
                          </a:prstGeom>
                          <a:noFill/>
                          <a:ln w="9525">
                            <a:noFill/>
                            <a:headEnd/>
                            <a:tailEnd/>
                          </a:ln>
                        </pic:spPr>
                      </pic:pic>
                    </a:graphicData>
                  </a:graphic>
                </wp:inline>
              </w:drawing>
            </w:r>
          </w:p>
        </w:tc>
      </w:tr>
    </w:tbl>
    <w:p>
      <w:pPr>
        <w:pStyle w:val="ImageCaption"/>
      </w:pPr>
      <w:r>
        <w:t xml:space="preserve">Figure 3.</w:t>
      </w:r>
      <w:r>
        <w:t xml:space="preserve"> </w:t>
      </w:r>
      <w:r>
        <w:t xml:space="preserve">Revenue captured by each policy as a share of the hindsight offline optimum, per replication. Planned allocation dominates greedy serving in all 20 replications; the two distributions do not overlap (planned minimum 91.7%, greedy maximum 91.6%).</w:t>
      </w:r>
    </w:p>
    <w:p>
      <w:pPr>
        <w:pStyle w:val="BodyText"/>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39"/>
    <w:bookmarkStart w:id="40" w:name="a-reference-serving-architecture"/>
    <w:p>
      <w:pPr>
        <w:pStyle w:val="Heading2"/>
      </w:pPr>
      <w:r>
        <w:t xml:space="preserve">8</w:t>
      </w:r>
      <w:r>
        <w:t xml:space="preserve">A reference serving architecture</w:t>
      </w:r>
    </w:p>
    <w:p>
      <w:pPr>
        <w:pStyle w:val="FirstParagraph"/>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Web ad network</w:t>
            </w:r>
          </w:p>
        </w:tc>
        <w:tc>
          <w:tcPr/>
          <w:p>
            <w:pPr>
              <w:pStyle w:val="Compact"/>
              <w:jc w:val="left"/>
            </w:pPr>
            <w:r>
              <w:t xml:space="preserve">Network operator</w:t>
            </w:r>
          </w:p>
        </w:tc>
      </w:tr>
      <w:tr>
        <w:tc>
          <w:tcPr/>
          <w:p>
            <w:pPr>
              <w:pStyle w:val="Compact"/>
              <w:jc w:val="left"/>
            </w:pPr>
            <w:r>
              <w:t xml:space="preserve">Identity</w:t>
            </w:r>
          </w:p>
        </w:tc>
        <w:tc>
          <w:tcPr/>
          <w:p>
            <w:pPr>
              <w:pStyle w:val="Compact"/>
              <w:jc w:val="left"/>
            </w:pPr>
            <w:r>
              <w:t xml:space="preserve">Cookie or device fingerprint; resettable, unverified</w:t>
            </w:r>
          </w:p>
        </w:tc>
        <w:tc>
          <w:tcPr/>
          <w:p>
            <w:pPr>
              <w:pStyle w:val="Compact"/>
              <w:jc w:val="left"/>
            </w:pPr>
            <w:r>
              <w:t xml:space="preserve">Subscriber account; stable, verified, one per person</w:t>
            </w:r>
          </w:p>
        </w:tc>
      </w:tr>
      <w:tr>
        <w:tc>
          <w:tcPr/>
          <w:p>
            <w:pPr>
              <w:pStyle w:val="Compact"/>
              <w:jc w:val="left"/>
            </w:pPr>
            <w:r>
              <w:t xml:space="preserve">Demographics</w:t>
            </w:r>
          </w:p>
        </w:tc>
        <w:tc>
          <w:tcPr/>
          <w:p>
            <w:pPr>
              <w:pStyle w:val="Compact"/>
              <w:jc w:val="left"/>
            </w:pPr>
            <w:r>
              <w:t xml:space="preserve">Inferred from behavior</w:t>
            </w:r>
          </w:p>
        </w:tc>
        <w:tc>
          <w:tcPr/>
          <w:p>
            <w:pPr>
              <w:pStyle w:val="Compact"/>
              <w:jc w:val="left"/>
            </w:pPr>
            <w:r>
              <w:t xml:space="preserve">Declared at subscription: age, gender, address</w:t>
            </w:r>
          </w:p>
        </w:tc>
      </w:tr>
      <w:tr>
        <w:tc>
          <w:tcPr/>
          <w:p>
            <w:pPr>
              <w:pStyle w:val="Compact"/>
              <w:jc w:val="left"/>
            </w:pPr>
            <w:r>
              <w:t xml:space="preserve">Financial signal</w:t>
            </w:r>
          </w:p>
        </w:tc>
        <w:tc>
          <w:tcPr/>
          <w:p>
            <w:pPr>
              <w:pStyle w:val="Compact"/>
              <w:jc w:val="left"/>
            </w:pPr>
            <w:r>
              <w:t xml:space="preserve">None or modeled</w:t>
            </w:r>
          </w:p>
        </w:tc>
        <w:tc>
          <w:tcPr/>
          <w:p>
            <w:pPr>
              <w:pStyle w:val="Compact"/>
              <w:jc w:val="left"/>
            </w:pPr>
            <w:r>
              <w:t xml:space="preserve">Plan, spend level, content purchase history</w:t>
            </w:r>
          </w:p>
        </w:tc>
      </w:tr>
      <w:tr>
        <w:tc>
          <w:tcPr/>
          <w:p>
            <w:pPr>
              <w:pStyle w:val="Compact"/>
              <w:jc w:val="left"/>
            </w:pPr>
            <w:r>
              <w:t xml:space="preserve">Location</w:t>
            </w:r>
          </w:p>
        </w:tc>
        <w:tc>
          <w:tcPr/>
          <w:p>
            <w:pPr>
              <w:pStyle w:val="Compact"/>
              <w:jc w:val="left"/>
            </w:pPr>
            <w:r>
              <w:t xml:space="preserve">Coarse, via IP</w:t>
            </w:r>
          </w:p>
        </w:tc>
        <w:tc>
          <w:tcPr/>
          <w:p>
            <w:pPr>
              <w:pStyle w:val="Compact"/>
              <w:jc w:val="left"/>
            </w:pPr>
            <w:r>
              <w:t xml:space="preserve">Network-observed, continuous</w:t>
            </w:r>
          </w:p>
        </w:tc>
      </w:tr>
      <w:tr>
        <w:tc>
          <w:tcPr/>
          <w:p>
            <w:pPr>
              <w:pStyle w:val="Compact"/>
              <w:jc w:val="left"/>
            </w:pPr>
            <w:r>
              <w:t xml:space="preserve">Browsing coverage</w:t>
            </w:r>
          </w:p>
        </w:tc>
        <w:tc>
          <w:tcPr/>
          <w:p>
            <w:pPr>
              <w:pStyle w:val="Compact"/>
              <w:jc w:val="left"/>
            </w:pPr>
            <w:r>
              <w:t xml:space="preserve">Sites the network instruments</w:t>
            </w:r>
          </w:p>
        </w:tc>
        <w:tc>
          <w:tcPr/>
          <w:p>
            <w:pPr>
              <w:pStyle w:val="Compact"/>
              <w:jc w:val="left"/>
            </w:pPr>
            <w:r>
              <w:t xml:space="preserve">All traffic through the gateway</w:t>
            </w:r>
          </w:p>
        </w:tc>
      </w:tr>
      <w:tr>
        <w:tc>
          <w:tcPr/>
          <w:p>
            <w:pPr>
              <w:pStyle w:val="Compact"/>
              <w:jc w:val="left"/>
            </w:pPr>
            <w:r>
              <w:t xml:space="preserve">Exposure control</w:t>
            </w:r>
          </w:p>
        </w:tc>
        <w:tc>
          <w:tcPr/>
          <w:p>
            <w:pPr>
              <w:pStyle w:val="Compact"/>
              <w:jc w:val="left"/>
            </w:pPr>
            <w:r>
              <w:t xml:space="preserve">Per-site frequency caps</w:t>
            </w:r>
          </w:p>
        </w:tc>
        <w:tc>
          <w:tcPr/>
          <w:p>
            <w:pPr>
              <w:pStyle w:val="Compact"/>
              <w:jc w:val="left"/>
            </w:pPr>
            <w:r>
              <w:t xml:space="preserve">Global caps across all inventory, per subscriber</w:t>
            </w:r>
          </w:p>
        </w:tc>
      </w:tr>
    </w:tbl>
    <w:p>
      <w:pPr>
        <w:pStyle w:val="BodyText"/>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40"/>
    <w:bookmarkStart w:id="41" w:name="related-work"/>
    <w:p>
      <w:pPr>
        <w:pStyle w:val="Heading2"/>
      </w:pPr>
      <w:r>
        <w:t xml:space="preserve">9</w:t>
      </w:r>
      <w:r>
        <w:t xml:space="preserve">Related work</w:t>
      </w:r>
    </w:p>
    <w:p>
      <w:pPr>
        <w:pStyle w:val="FirstParagraph"/>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41"/>
    <w:bookmarkStart w:id="42" w:name="discussion"/>
    <w:p>
      <w:pPr>
        <w:pStyle w:val="Heading2"/>
      </w:pPr>
      <w:r>
        <w:t xml:space="preserve">10</w:t>
      </w:r>
      <w:r>
        <w:t xml:space="preserve">Discussion</w:t>
      </w:r>
    </w:p>
    <w:p>
      <w:pPr>
        <w:pStyle w:val="FirstParagraph"/>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42"/>
    <w:bookmarkStart w:id="43" w:name="scope-and-assumptions"/>
    <w:p>
      <w:pPr>
        <w:pStyle w:val="Heading2"/>
      </w:pPr>
      <w:r>
        <w:t xml:space="preserve">11</w:t>
      </w:r>
      <w:r>
        <w:t xml:space="preserve">Scope and assumptions</w:t>
      </w:r>
    </w:p>
    <w:p>
      <w:pPr>
        <w:pStyle w:val="FirstParagraph"/>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not failed replications; they are the edges that make the deployment claim falsifiable.</w:t>
      </w:r>
    </w:p>
    <w:p>
      <w:pPr>
        <w:pStyle w:val="BodyText"/>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43"/>
    <w:bookmarkStart w:id="62" w:name="X768eda5dc47c9e2fbd56372e290aa93bfab37c7"/>
    <w:p>
      <w:pPr>
        <w:pStyle w:val="Heading2"/>
      </w:pPr>
      <w:r>
        <w:t xml:space="preserve">Appendix A. Reference serving architecture</w:t>
      </w:r>
    </w:p>
    <w:p>
      <w:pPr>
        <w:pStyle w:val="FirstParagraph"/>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44" w:name="Xa31f11580875970f34b111f76672a43985c73f8"/>
    <w:p>
      <w:pPr>
        <w:pStyle w:val="Heading3"/>
      </w:pPr>
      <w:r>
        <w:t xml:space="preserve">A.1 The offline stage: learning the inputs to the plan</w:t>
      </w:r>
    </w:p>
    <w:p>
      <w:pPr>
        <w:pStyle w:val="FirstParagraph"/>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pPr>
      <w:r>
        <w:t xml:space="preserve">The distribution of (context, profile) pairs observed in the past will recur in the future.</w:t>
      </w:r>
    </w:p>
    <w:p>
      <w:pPr>
        <w:pStyle w:val="Compact"/>
        <w:numPr>
          <w:ilvl w:val="0"/>
          <w:numId w:val="1002"/>
        </w:numPr>
      </w:pPr>
      <w:r>
        <w:t xml:space="preserve">Subscribers who responded similarly under similar conditions will continue to respond similarly.</w:t>
      </w:r>
    </w:p>
    <w:p>
      <w:pPr>
        <w:pStyle w:val="Compact"/>
        <w:numPr>
          <w:ilvl w:val="0"/>
          <w:numId w:val="1002"/>
        </w:numPr>
      </w:pPr>
      <w:r>
        <w:t xml:space="preserve">Subscribers who respond similarly share something observable in their profiles or histories.</w:t>
      </w:r>
    </w:p>
    <w:p>
      <w:pPr>
        <w:pStyle w:val="FirstParagraph"/>
      </w:pPr>
      <w:r>
        <w:t xml:space="preserve">Assumption 1 justifies forecasting traffic from history; assumptions 2 and 3 justify pooling sparse per-subscriber click data into clusters that have enough volume to estimate probabilities reliably.</w:t>
      </w:r>
    </w:p>
    <w:bookmarkEnd w:id="44"/>
    <w:bookmarkStart w:id="45" w:name="a.1.1-response-records"/>
    <w:p>
      <w:pPr>
        <w:pStyle w:val="Heading3"/>
      </w:pPr>
      <w:r>
        <w:t xml:space="preserve">A.1.1 Response records</w:t>
      </w:r>
    </w:p>
    <w:p>
      <w:pPr>
        <w:pStyle w:val="FirstParagraph"/>
      </w:pPr>
      <w:r>
        <w:t xml:space="preserve">The atomic unit of evidence is an ad response record: who saw what, in what context, and whether they clicked.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Content category</w:t>
            </w:r>
          </w:p>
        </w:tc>
        <w:tc>
          <w:tcPr/>
          <w:p>
            <w:pPr>
              <w:pStyle w:val="Compact"/>
              <w:jc w:val="left"/>
            </w:pPr>
            <w:r>
              <w:t xml:space="preserve">Campaign</w:t>
            </w:r>
          </w:p>
        </w:tc>
        <w:tc>
          <w:tcPr/>
          <w:p>
            <w:pPr>
              <w:pStyle w:val="Compact"/>
              <w:jc w:val="left"/>
            </w:pPr>
            <w:r>
              <w:t xml:space="preserve">Click</w:t>
            </w:r>
          </w:p>
        </w:tc>
      </w:tr>
      <w:tr>
        <w:tc>
          <w:tcPr/>
          <w:p>
            <w:pPr>
              <w:pStyle w:val="Compact"/>
              <w:jc w:val="left"/>
            </w:pPr>
            <w:r>
              <w:t xml:space="preserve">11:23</w:t>
            </w:r>
          </w:p>
        </w:tc>
        <w:tc>
          <w:tcPr/>
          <w:p>
            <w:pPr>
              <w:pStyle w:val="Compact"/>
              <w:jc w:val="left"/>
            </w:pPr>
            <w:r>
              <w:t xml:space="preserve">Monday</w:t>
            </w:r>
          </w:p>
        </w:tc>
        <w:tc>
          <w:tcPr/>
          <w:p>
            <w:pPr>
              <w:pStyle w:val="Compact"/>
              <w:jc w:val="left"/>
            </w:pPr>
            <w:r>
              <w:t xml:space="preserve">News</w:t>
            </w:r>
          </w:p>
        </w:tc>
        <w:tc>
          <w:tcPr/>
          <w:p>
            <w:pPr>
              <w:pStyle w:val="Compact"/>
              <w:jc w:val="left"/>
            </w:pPr>
            <w:r>
              <w:t xml:space="preserve">C1 (active)</w:t>
            </w:r>
          </w:p>
        </w:tc>
        <w:tc>
          <w:tcPr/>
          <w:p>
            <w:pPr>
              <w:pStyle w:val="Compact"/>
              <w:jc w:val="left"/>
            </w:pPr>
            <w:r>
              <w:t xml:space="preserve">0</w:t>
            </w:r>
          </w:p>
        </w:tc>
      </w:tr>
      <w:tr>
        <w:tc>
          <w:tcPr/>
          <w:p>
            <w:pPr>
              <w:pStyle w:val="Compact"/>
              <w:jc w:val="left"/>
            </w:pPr>
            <w:r>
              <w:t xml:space="preserve">14:15</w:t>
            </w:r>
          </w:p>
        </w:tc>
        <w:tc>
          <w:tcPr/>
          <w:p>
            <w:pPr>
              <w:pStyle w:val="Compact"/>
              <w:jc w:val="left"/>
            </w:pPr>
            <w:r>
              <w:t xml:space="preserve">Monday</w:t>
            </w:r>
          </w:p>
        </w:tc>
        <w:tc>
          <w:tcPr/>
          <w:p>
            <w:pPr>
              <w:pStyle w:val="Compact"/>
              <w:jc w:val="left"/>
            </w:pPr>
            <w:r>
              <w:t xml:space="preserve">Sport</w:t>
            </w:r>
          </w:p>
        </w:tc>
        <w:tc>
          <w:tcPr/>
          <w:p>
            <w:pPr>
              <w:pStyle w:val="Compact"/>
              <w:jc w:val="left"/>
            </w:pPr>
            <w:r>
              <w:t xml:space="preserve">C2 (active)</w:t>
            </w:r>
          </w:p>
        </w:tc>
        <w:tc>
          <w:tcPr/>
          <w:p>
            <w:pPr>
              <w:pStyle w:val="Compact"/>
              <w:jc w:val="left"/>
            </w:pPr>
            <w:r>
              <w:t xml:space="preserve">1</w:t>
            </w:r>
          </w:p>
        </w:tc>
      </w:tr>
      <w:tr>
        <w:tc>
          <w:tcPr/>
          <w:p>
            <w:pPr>
              <w:pStyle w:val="Compact"/>
              <w:jc w:val="left"/>
            </w:pPr>
            <w:r>
              <w:t xml:space="preserve">18:14</w:t>
            </w:r>
          </w:p>
        </w:tc>
        <w:tc>
          <w:tcPr/>
          <w:p>
            <w:pPr>
              <w:pStyle w:val="Compact"/>
              <w:jc w:val="left"/>
            </w:pPr>
            <w:r>
              <w:t xml:space="preserve">Sunday</w:t>
            </w:r>
          </w:p>
        </w:tc>
        <w:tc>
          <w:tcPr/>
          <w:p>
            <w:pPr>
              <w:pStyle w:val="Compact"/>
              <w:jc w:val="left"/>
            </w:pPr>
            <w:r>
              <w:t xml:space="preserve">Sport</w:t>
            </w:r>
          </w:p>
        </w:tc>
        <w:tc>
          <w:tcPr/>
          <w:p>
            <w:pPr>
              <w:pStyle w:val="Compact"/>
              <w:jc w:val="left"/>
            </w:pPr>
            <w:r>
              <w:t xml:space="preserve">C4 (past)</w:t>
            </w:r>
          </w:p>
        </w:tc>
        <w:tc>
          <w:tcPr/>
          <w:p>
            <w:pPr>
              <w:pStyle w:val="Compact"/>
              <w:jc w:val="left"/>
            </w:pPr>
            <w:r>
              <w:t xml:space="preserve">1</w:t>
            </w:r>
          </w:p>
        </w:tc>
      </w:tr>
    </w:tbl>
    <w:p>
      <w:pPr>
        <w:pStyle w:val="BodyText"/>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45"/>
    <w:bookmarkStart w:id="46" w:name="a.1.2-proximity-and-clustering"/>
    <w:p>
      <w:pPr>
        <w:pStyle w:val="Heading3"/>
      </w:pPr>
      <w:r>
        <w:t xml:space="preserve">A.1.2 Proximity and clustering</w:t>
      </w:r>
    </w:p>
    <w:p>
      <w:pPr>
        <w:pStyle w:val="FirstParagraph"/>
      </w:pPr>
      <w:r>
        <w:t xml:space="preserve">Subscribers are clustered by a weighted distance that mixes profile similarity with response-pattern similarity: response to the same campaigns (active and past) and to similar campaigns. Each attribute contributes its own distance component: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Attribute</w:t>
            </w:r>
          </w:p>
        </w:tc>
        <w:tc>
          <w:tcPr/>
          <w:p>
            <w:pPr>
              <w:pStyle w:val="Compact"/>
              <w:jc w:val="left"/>
            </w:pPr>
            <w:r>
              <w:t xml:space="preserve">Distance component</w:t>
            </w:r>
          </w:p>
        </w:tc>
      </w:tr>
      <w:tr>
        <w:tc>
          <w:tcPr/>
          <w:p>
            <w:pPr>
              <w:pStyle w:val="Compact"/>
              <w:jc w:val="left"/>
            </w:pPr>
            <w:r>
              <w:t xml:space="preserve">Age</w:t>
            </w:r>
          </w:p>
        </w:tc>
        <w:tc>
          <w:tcPr/>
          <w:p>
            <w:pPr>
              <w:pStyle w:val="Compact"/>
              <w:jc w:val="left"/>
            </w:pPr>
            <w:r>
              <w:t xml:space="preserve">Absolute difference</w:t>
            </w:r>
          </w:p>
        </w:tc>
      </w:tr>
      <w:tr>
        <w:tc>
          <w:tcPr/>
          <w:p>
            <w:pPr>
              <w:pStyle w:val="Compact"/>
              <w:jc w:val="left"/>
            </w:pPr>
            <w:r>
              <w:t xml:space="preserve">Gender</w:t>
            </w:r>
          </w:p>
        </w:tc>
        <w:tc>
          <w:tcPr/>
          <w:p>
            <w:pPr>
              <w:pStyle w:val="Compact"/>
              <w:jc w:val="left"/>
            </w:pPr>
            <w:r>
              <w:t xml:space="preserve">Fixed penalty if different</w:t>
            </w:r>
          </w:p>
        </w:tc>
      </w:tr>
      <w:tr>
        <w:tc>
          <w:tcPr/>
          <w:p>
            <w:pPr>
              <w:pStyle w:val="Compact"/>
              <w:jc w:val="left"/>
            </w:pPr>
            <w:r>
              <w:t xml:space="preserve">Campaign affinity</w:t>
            </w:r>
          </w:p>
        </w:tc>
        <w:tc>
          <w:tcPr/>
          <w:p>
            <w:pPr>
              <w:pStyle w:val="Compact"/>
              <w:jc w:val="left"/>
            </w:pPr>
            <w:r>
              <w:t xml:space="preserve">By campaign category; fixed penalty if different</w:t>
            </w:r>
          </w:p>
        </w:tc>
      </w:tr>
      <w:tr>
        <w:tc>
          <w:tcPr/>
          <w:p>
            <w:pPr>
              <w:pStyle w:val="Compact"/>
              <w:jc w:val="left"/>
            </w:pPr>
            <w:r>
              <w:t xml:space="preserve">Day of week</w:t>
            </w:r>
          </w:p>
        </w:tc>
        <w:tc>
          <w:tcPr/>
          <w:p>
            <w:pPr>
              <w:pStyle w:val="Compact"/>
              <w:jc w:val="left"/>
            </w:pPr>
            <w:r>
              <w:t xml:space="preserve">Absolute difference, circular</w:t>
            </w:r>
          </w:p>
        </w:tc>
      </w:tr>
      <w:tr>
        <w:tc>
          <w:tcPr/>
          <w:p>
            <w:pPr>
              <w:pStyle w:val="Compact"/>
              <w:jc w:val="left"/>
            </w:pPr>
            <w:r>
              <w:t xml:space="preserve">Location (x, y)</w:t>
            </w:r>
          </w:p>
        </w:tc>
        <w:tc>
          <w:tcPr/>
          <w:p>
            <w:pPr>
              <w:pStyle w:val="Compact"/>
              <w:jc w:val="left"/>
            </w:pPr>
            <w:r>
              <w:t xml:space="preserve">Straight-line distance</w:t>
            </w:r>
          </w:p>
        </w:tc>
      </w:tr>
    </w:tbl>
    <w:p>
      <w:pPr>
        <w:pStyle w:val="BodyText"/>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46"/>
    <w:bookmarkStart w:id="47" w:name="X8b2446043a77ae8c428cb2f72851e920fe1c4ed"/>
    <w:p>
      <w:pPr>
        <w:pStyle w:val="Heading3"/>
      </w:pPr>
      <w:r>
        <w:t xml:space="preserve">A.1.3 Cluster representation and click estimation</w:t>
      </w:r>
    </w:p>
    <w:p>
      <w:pPr>
        <w:pStyle w:val="FirstParagraph"/>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Context slot</w:t>
            </w:r>
          </w:p>
        </w:tc>
        <w:tc>
          <w:tcPr/>
          <w:p>
            <w:pPr>
              <w:pStyle w:val="Compact"/>
              <w:jc w:val="left"/>
            </w:pPr>
            <w:r>
              <w:t xml:space="preserve">Time of day</w:t>
            </w:r>
          </w:p>
        </w:tc>
        <w:tc>
          <w:tcPr/>
          <w:p>
            <w:pPr>
              <w:pStyle w:val="Compact"/>
              <w:jc w:val="left"/>
            </w:pPr>
            <w:r>
              <w:t xml:space="preserve">Day of week</w:t>
            </w:r>
          </w:p>
        </w:tc>
        <w:tc>
          <w:tcPr/>
          <w:p>
            <w:pPr>
              <w:pStyle w:val="Compact"/>
              <w:jc w:val="left"/>
            </w:pPr>
            <w:r>
              <w:t xml:space="preserve">Category</w:t>
            </w:r>
          </w:p>
        </w:tc>
        <w:tc>
          <w:tcPr/>
          <w:p>
            <w:pPr>
              <w:pStyle w:val="Compact"/>
              <w:jc w:val="left"/>
            </w:pPr>
            <w:r>
              <w:t xml:space="preserve">Predicted hits</w:t>
            </w:r>
          </w:p>
        </w:tc>
      </w:tr>
      <w:tr>
        <w:tc>
          <w:tcPr/>
          <w:p>
            <w:pPr>
              <w:pStyle w:val="Compact"/>
              <w:jc w:val="left"/>
            </w:pPr>
            <w:r>
              <w:t xml:space="preserve">CS1</w:t>
            </w:r>
          </w:p>
        </w:tc>
        <w:tc>
          <w:tcPr/>
          <w:p>
            <w:pPr>
              <w:pStyle w:val="Compact"/>
              <w:jc w:val="left"/>
            </w:pPr>
            <w:r>
              <w:t xml:space="preserve">10:00–12:00</w:t>
            </w:r>
          </w:p>
        </w:tc>
        <w:tc>
          <w:tcPr/>
          <w:p>
            <w:pPr>
              <w:pStyle w:val="Compact"/>
              <w:jc w:val="left"/>
            </w:pPr>
            <w:r>
              <w:t xml:space="preserve">Mon–Tue</w:t>
            </w:r>
          </w:p>
        </w:tc>
        <w:tc>
          <w:tcPr/>
          <w:p>
            <w:pPr>
              <w:pStyle w:val="Compact"/>
              <w:jc w:val="left"/>
            </w:pPr>
            <w:r>
              <w:t xml:space="preserve">News, Sport</w:t>
            </w:r>
          </w:p>
        </w:tc>
        <w:tc>
          <w:tcPr/>
          <w:p>
            <w:pPr>
              <w:pStyle w:val="Compact"/>
              <w:jc w:val="left"/>
            </w:pPr>
            <w:r>
              <w:t xml:space="preserve">3,000</w:t>
            </w:r>
          </w:p>
        </w:tc>
      </w:tr>
      <w:tr>
        <w:tc>
          <w:tcPr/>
          <w:p>
            <w:pPr>
              <w:pStyle w:val="Compact"/>
              <w:jc w:val="left"/>
            </w:pPr>
            <w:r>
              <w:t xml:space="preserve">CS2</w:t>
            </w:r>
          </w:p>
        </w:tc>
        <w:tc>
          <w:tcPr/>
          <w:p>
            <w:pPr>
              <w:pStyle w:val="Compact"/>
              <w:jc w:val="left"/>
            </w:pPr>
            <w:r>
              <w:t xml:space="preserve">11:00–17:00</w:t>
            </w:r>
          </w:p>
        </w:tc>
        <w:tc>
          <w:tcPr/>
          <w:p>
            <w:pPr>
              <w:pStyle w:val="Compact"/>
              <w:jc w:val="left"/>
            </w:pPr>
            <w:r>
              <w:t xml:space="preserve">Sun</w:t>
            </w:r>
          </w:p>
        </w:tc>
        <w:tc>
          <w:tcPr/>
          <w:p>
            <w:pPr>
              <w:pStyle w:val="Compact"/>
              <w:jc w:val="left"/>
            </w:pPr>
            <w:r>
              <w:t xml:space="preserve">Sport</w:t>
            </w:r>
          </w:p>
        </w:tc>
        <w:tc>
          <w:tcPr/>
          <w:p>
            <w:pPr>
              <w:pStyle w:val="Compact"/>
              <w:jc w:val="left"/>
            </w:pPr>
            <w:r>
              <w:t xml:space="preserve">4,000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Campaign</w:t>
            </w:r>
          </w:p>
        </w:tc>
        <w:tc>
          <w:tcPr/>
          <w:p>
            <w:pPr>
              <w:pStyle w:val="Compact"/>
              <w:jc w:val="left"/>
            </w:pPr>
            <w:r>
              <w:t xml:space="preserve">Context slot</w:t>
            </w:r>
          </w:p>
        </w:tc>
        <w:tc>
          <w:tcPr/>
          <w:p>
            <w:pPr>
              <w:pStyle w:val="Compact"/>
              <w:jc w:val="left"/>
            </w:pPr>
            <w:r>
              <w:t xml:space="preserve">Impressions</w:t>
            </w:r>
          </w:p>
        </w:tc>
        <w:tc>
          <w:tcPr/>
          <w:p>
            <w:pPr>
              <w:pStyle w:val="Compact"/>
              <w:jc w:val="left"/>
            </w:pPr>
            <w:r>
              <w:t xml:space="preserve">Clicks</w:t>
            </w:r>
          </w:p>
        </w:tc>
      </w:tr>
      <w:tr>
        <w:tc>
          <w:tcPr/>
          <w:p>
            <w:pPr>
              <w:pStyle w:val="Compact"/>
              <w:jc w:val="left"/>
            </w:pPr>
            <w:r>
              <w:t xml:space="preserve">C1</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3</w:t>
            </w:r>
          </w:p>
        </w:tc>
      </w:tr>
      <w:tr>
        <w:tc>
          <w:tcPr/>
          <w:p>
            <w:pPr>
              <w:pStyle w:val="Compact"/>
              <w:jc w:val="left"/>
            </w:pPr>
            <w:r>
              <w:t xml:space="preserve">C1</w:t>
            </w:r>
          </w:p>
        </w:tc>
        <w:tc>
          <w:tcPr/>
          <w:p>
            <w:pPr>
              <w:pStyle w:val="Compact"/>
              <w:jc w:val="left"/>
            </w:pPr>
            <w:r>
              <w:t xml:space="preserve">CS2</w:t>
            </w:r>
          </w:p>
        </w:tc>
        <w:tc>
          <w:tcPr/>
          <w:p>
            <w:pPr>
              <w:pStyle w:val="Compact"/>
              <w:jc w:val="left"/>
            </w:pPr>
            <w:r>
              <w:t xml:space="preserve">2,000</w:t>
            </w:r>
          </w:p>
        </w:tc>
        <w:tc>
          <w:tcPr/>
          <w:p>
            <w:pPr>
              <w:pStyle w:val="Compact"/>
              <w:jc w:val="left"/>
            </w:pPr>
            <w:r>
              <w:t xml:space="preserve">2</w:t>
            </w:r>
          </w:p>
        </w:tc>
      </w:tr>
      <w:tr>
        <w:tc>
          <w:tcPr/>
          <w:p>
            <w:pPr>
              <w:pStyle w:val="Compact"/>
              <w:jc w:val="left"/>
            </w:pPr>
            <w:r>
              <w:t xml:space="preserve">C2</w:t>
            </w:r>
          </w:p>
        </w:tc>
        <w:tc>
          <w:tcPr/>
          <w:p>
            <w:pPr>
              <w:pStyle w:val="Compact"/>
              <w:jc w:val="left"/>
            </w:pPr>
            <w:r>
              <w:t xml:space="preserve">CS1</w:t>
            </w:r>
          </w:p>
        </w:tc>
        <w:tc>
          <w:tcPr/>
          <w:p>
            <w:pPr>
              <w:pStyle w:val="Compact"/>
              <w:jc w:val="left"/>
            </w:pPr>
            <w:r>
              <w:t xml:space="preserve">1,000</w:t>
            </w:r>
          </w:p>
        </w:tc>
        <w:tc>
          <w:tcPr/>
          <w:p>
            <w:pPr>
              <w:pStyle w:val="Compact"/>
              <w:jc w:val="left"/>
            </w:pPr>
            <w:r>
              <w:t xml:space="preserve">7</w:t>
            </w:r>
          </w:p>
        </w:tc>
      </w:tr>
    </w:tbl>
    <w:p>
      <w:pPr>
        <w:pStyle w:val="BodyText"/>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47"/>
    <w:bookmarkStart w:id="48" w:name="X2728b61a2ed01e7aae0fb7efa1e42ffc1e64944"/>
    <w:p>
      <w:pPr>
        <w:pStyle w:val="Heading3"/>
      </w:pPr>
      <w:r>
        <w:t xml:space="preserve">A.1.4 Compiling the plan into lookup tables</w:t>
      </w:r>
    </w:p>
    <w:p>
      <w:pPr>
        <w:pStyle w:val="FirstParagraph"/>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Structure</w:t>
            </w:r>
          </w:p>
        </w:tc>
        <w:tc>
          <w:tcPr/>
          <w:p>
            <w:pPr>
              <w:pStyle w:val="Compact"/>
              <w:jc w:val="left"/>
            </w:pPr>
            <w:r>
              <w:t xml:space="preserve">Keyed by</w:t>
            </w:r>
          </w:p>
        </w:tc>
        <w:tc>
          <w:tcPr/>
          <w:p>
            <w:pPr>
              <w:pStyle w:val="Compact"/>
              <w:jc w:val="left"/>
            </w:pPr>
            <w:r>
              <w:t xml:space="preserve">Contents</w:t>
            </w:r>
          </w:p>
        </w:tc>
      </w:tr>
      <w:tr>
        <w:tc>
          <w:tcPr/>
          <w:p>
            <w:pPr>
              <w:pStyle w:val="Compact"/>
              <w:jc w:val="left"/>
            </w:pPr>
            <w:r>
              <w:rPr>
                <w:b/>
                <w:bCs/>
              </w:rPr>
              <w:t xml:space="preserve">Model table</w:t>
            </w:r>
          </w:p>
        </w:tc>
        <w:tc>
          <w:tcPr/>
          <w:p>
            <w:pPr>
              <w:pStyle w:val="Compact"/>
              <w:jc w:val="left"/>
            </w:pPr>
            <w:r>
              <w:t xml:space="preserve">cluster × campaign</w:t>
            </w:r>
          </w:p>
        </w:tc>
        <w:tc>
          <w:tcPr/>
          <w:p>
            <w:pPr>
              <w:pStyle w:val="Compact"/>
              <w:jc w:val="left"/>
            </w:pPr>
            <w:r>
              <w:t xml:space="preserve">Targeted time slots and content categories as bit masks; planned impressions; expected clicks</w:t>
            </w:r>
          </w:p>
        </w:tc>
      </w:tr>
      <w:tr>
        <w:tc>
          <w:tcPr/>
          <w:p>
            <w:pPr>
              <w:pStyle w:val="Compact"/>
              <w:jc w:val="left"/>
            </w:pPr>
            <w:r>
              <w:rPr>
                <w:b/>
                <w:bCs/>
              </w:rPr>
              <w:t xml:space="preserve">Match table</w:t>
            </w:r>
          </w:p>
        </w:tc>
        <w:tc>
          <w:tcPr/>
          <w:p>
            <w:pPr>
              <w:pStyle w:val="Compact"/>
              <w:jc w:val="left"/>
            </w:pPr>
            <w:r>
              <w:t xml:space="preserve">subscriber</w:t>
            </w:r>
          </w:p>
        </w:tc>
        <w:tc>
          <w:tcPr/>
          <w:p>
            <w:pPr>
              <w:pStyle w:val="Compact"/>
              <w:jc w:val="left"/>
            </w:pPr>
            <w:r>
              <w:t xml:space="preserve">Campaigns this subscriber is eligible for under targeting rules</w:t>
            </w:r>
          </w:p>
        </w:tc>
      </w:tr>
      <w:tr>
        <w:tc>
          <w:tcPr/>
          <w:p>
            <w:pPr>
              <w:pStyle w:val="Compact"/>
              <w:jc w:val="left"/>
            </w:pPr>
            <w:r>
              <w:rPr>
                <w:b/>
                <w:bCs/>
              </w:rPr>
              <w:t xml:space="preserve">Cluster table</w:t>
            </w:r>
          </w:p>
        </w:tc>
        <w:tc>
          <w:tcPr/>
          <w:p>
            <w:pPr>
              <w:pStyle w:val="Compact"/>
              <w:jc w:val="left"/>
            </w:pPr>
            <w:r>
              <w:t xml:space="preserve">subscriber</w:t>
            </w:r>
          </w:p>
        </w:tc>
        <w:tc>
          <w:tcPr/>
          <w:p>
            <w:pPr>
              <w:pStyle w:val="Compact"/>
              <w:jc w:val="left"/>
            </w:pPr>
            <w:r>
              <w:t xml:space="preserve">Distance to each nearby cluster (the soft-membership weights)</w:t>
            </w:r>
          </w:p>
        </w:tc>
      </w:tr>
    </w:tbl>
    <w:p>
      <w:pPr>
        <w:pStyle w:val="BodyText"/>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48"/>
    <w:bookmarkStart w:id="52" w:name="X4b4881ba4a2c69f1986b51a46ce2020ac7b4091"/>
    <w:p>
      <w:pPr>
        <w:pStyle w:val="Heading3"/>
      </w:pPr>
      <w:r>
        <w:t xml:space="preserve">A.2 The online stage: executing the plan in real time</w:t>
      </w:r>
    </w:p>
    <w:p>
      <w:pPr>
        <w:pStyle w:val="FirstParagraph"/>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1778000"/>
                  <wp:effectExtent b="0" l="0" r="0" t="0"/>
                  <wp:docPr descr="" title="" id="50" name="Picture"/>
                  <a:graphic>
                    <a:graphicData uri="http://schemas.openxmlformats.org/drawingml/2006/picture">
                      <pic:pic>
                        <pic:nvPicPr>
                          <pic:cNvPr descr="file:///E:/tmp/claude/E--Projects-Submitted-MobileAd-Comverse/464e82cd-870f-4dc1-b795-92348cf1a9b8/scratchpad/figs/fig4.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tc>
      </w:tr>
    </w:tbl>
    <w:p>
      <w:pPr>
        <w:pStyle w:val="ImageCaption"/>
      </w:pPr>
      <w:r>
        <w:t xml:space="preserve">Figure 4.</w:t>
      </w:r>
      <w:r>
        <w:t xml:space="preserve"> </w:t>
      </w:r>
      <w:r>
        <w:t xml:space="preserve">The closed loop. Offline analytics compiles the model and allocation plan into lookup tables; the online engine executes them per impression and streams response records back, which the next analytics cycle uses to refine clusters, probabilities, and the plan.</w:t>
      </w:r>
    </w:p>
    <w:bookmarkEnd w:id="52"/>
    <w:bookmarkStart w:id="56" w:name="a.2.1-the-seven-step-decision"/>
    <w:p>
      <w:pPr>
        <w:pStyle w:val="Heading3"/>
      </w:pPr>
      <w:r>
        <w:t xml:space="preserve">A.2.1 The seven-step decision</w:t>
      </w:r>
    </w:p>
    <w:p>
      <w:pPr>
        <w:pStyle w:val="Compact"/>
        <w:numPr>
          <w:ilvl w:val="0"/>
          <w:numId w:val="1003"/>
        </w:numPr>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pPr>
      <w:r>
        <w:t xml:space="preserve">Every step is a keyed lookup, a bit-mask test, or arithmetic over a handful of rows. The expensive work (clustering, probability estimation, optimization) was all paid for offline.</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755900"/>
                  <wp:effectExtent b="0" l="0" r="0" t="0"/>
                  <wp:docPr descr="" title="" id="54" name="Picture"/>
                  <a:graphic>
                    <a:graphicData uri="http://schemas.openxmlformats.org/drawingml/2006/picture">
                      <pic:pic>
                        <pic:nvPicPr>
                          <pic:cNvPr descr="file:///E:/tmp/claude/E--Projects-Submitted-MobileAd-Comverse/464e82cd-870f-4dc1-b795-92348cf1a9b8/scratchpad/figs/fig5.png" id="55" name="Picture"/>
                          <pic:cNvPicPr>
                            <a:picLocks noChangeArrowheads="1" noChangeAspect="1"/>
                          </pic:cNvPicPr>
                        </pic:nvPicPr>
                        <pic:blipFill>
                          <a:blip r:embed="rId53"/>
                          <a:stretch>
                            <a:fillRect/>
                          </a:stretch>
                        </pic:blipFill>
                        <pic:spPr bwMode="auto">
                          <a:xfrm>
                            <a:off x="0" y="0"/>
                            <a:ext cx="5334000" cy="2755900"/>
                          </a:xfrm>
                          <a:prstGeom prst="rect">
                            <a:avLst/>
                          </a:prstGeom>
                          <a:noFill/>
                          <a:ln w="9525">
                            <a:noFill/>
                            <a:headEnd/>
                            <a:tailEnd/>
                          </a:ln>
                        </pic:spPr>
                      </pic:pic>
                    </a:graphicData>
                  </a:graphic>
                </wp:inline>
              </w:drawing>
            </w:r>
          </w:p>
        </w:tc>
      </w:tr>
    </w:tbl>
    <w:p>
      <w:pPr>
        <w:pStyle w:val="ImageCaption"/>
      </w:pPr>
      <w:r>
        <w:t xml:space="preserve">Figure 5.</w:t>
      </w:r>
      <w:r>
        <w:t xml:space="preserve"> </w:t>
      </w:r>
      <w:r>
        <w:t xml:space="preserve">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56"/>
    <w:bookmarkStart w:id="57" w:name="X177b7c0bc4741b5b22d40a3d16b0d67309e222e"/>
    <w:p>
      <w:pPr>
        <w:pStyle w:val="Heading3"/>
      </w:pPr>
      <w:r>
        <w:t xml:space="preserve">A.2.2 Click prediction by soft membership</w:t>
      </w:r>
    </w:p>
    <w:p>
      <w:pPr>
        <w:pStyle w:val="FirstParagraph"/>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SourceCode"/>
      </w:pPr>
      <w:r>
        <w:rPr>
          <w:rStyle w:val="VerbatimChar"/>
        </w:rPr>
        <w:t xml:space="preserve">p(click | C1)  =  0.2 · (40 / 8,000)  +  0.8 · (60 / 10,000)  =  0.0058</w:t>
      </w:r>
    </w:p>
    <w:p>
      <w:pPr>
        <w:pStyle w:val="FirstParagraph"/>
      </w:pPr>
      <w:r>
        <w:t xml:space="preserve">Because the subscriber borrows from every cluster they resemble, the estimate is stable even for subscribers with thin personal histories, and it is computed from two table rows and four multiplications.</w:t>
      </w:r>
    </w:p>
    <w:bookmarkEnd w:id="57"/>
    <w:bookmarkStart w:id="61" w:name="a.2.3-pacing-planned-versus-actual"/>
    <w:p>
      <w:pPr>
        <w:pStyle w:val="Heading3"/>
      </w:pPr>
      <w:r>
        <w:t xml:space="preserve">A.2.3 Pacing: planned versus actual</w:t>
      </w:r>
    </w:p>
    <w:p>
      <w:pPr>
        <w:pStyle w:val="FirstParagraph"/>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Cluster</w:t>
            </w:r>
          </w:p>
        </w:tc>
        <w:tc>
          <w:tcPr/>
          <w:p>
            <w:pPr>
              <w:pStyle w:val="Compact"/>
              <w:jc w:val="left"/>
            </w:pPr>
            <w:r>
              <w:t xml:space="preserve">Flight elapsed</w:t>
            </w:r>
          </w:p>
        </w:tc>
        <w:tc>
          <w:tcPr/>
          <w:p>
            <w:pPr>
              <w:pStyle w:val="Compact"/>
              <w:jc w:val="left"/>
            </w:pPr>
            <w:r>
              <w:t xml:space="preserve">Planned by now</w:t>
            </w:r>
          </w:p>
        </w:tc>
        <w:tc>
          <w:tcPr/>
          <w:p>
            <w:pPr>
              <w:pStyle w:val="Compact"/>
              <w:jc w:val="left"/>
            </w:pPr>
            <w:r>
              <w:t xml:space="preserve">Actual</w:t>
            </w:r>
          </w:p>
        </w:tc>
      </w:tr>
      <w:tr>
        <w:tc>
          <w:tcPr/>
          <w:p>
            <w:pPr>
              <w:pStyle w:val="Compact"/>
              <w:jc w:val="left"/>
            </w:pPr>
            <w:r>
              <w:t xml:space="preserve">L1</w:t>
            </w:r>
          </w:p>
        </w:tc>
        <w:tc>
          <w:tcPr/>
          <w:p>
            <w:pPr>
              <w:pStyle w:val="Compact"/>
              <w:jc w:val="left"/>
            </w:pPr>
            <w:r>
              <w:t xml:space="preserve">33%</w:t>
            </w:r>
          </w:p>
        </w:tc>
        <w:tc>
          <w:tcPr/>
          <w:p>
            <w:pPr>
              <w:pStyle w:val="Compact"/>
              <w:jc w:val="left"/>
            </w:pPr>
            <w:r>
              <w:t xml:space="preserve">8,000 × 0.33 = 2,640</w:t>
            </w:r>
          </w:p>
        </w:tc>
        <w:tc>
          <w:tcPr/>
          <w:p>
            <w:pPr>
              <w:pStyle w:val="Compact"/>
              <w:jc w:val="left"/>
            </w:pPr>
            <w:r>
              <w:t xml:space="preserve">2,000</w:t>
            </w:r>
          </w:p>
        </w:tc>
      </w:tr>
      <w:tr>
        <w:tc>
          <w:tcPr/>
          <w:p>
            <w:pPr>
              <w:pStyle w:val="Compact"/>
              <w:jc w:val="left"/>
            </w:pPr>
            <w:r>
              <w:t xml:space="preserve">L2</w:t>
            </w:r>
          </w:p>
        </w:tc>
        <w:tc>
          <w:tcPr/>
          <w:p>
            <w:pPr>
              <w:pStyle w:val="Compact"/>
              <w:jc w:val="left"/>
            </w:pPr>
            <w:r>
              <w:t xml:space="preserve">50%</w:t>
            </w:r>
          </w:p>
        </w:tc>
        <w:tc>
          <w:tcPr/>
          <w:p>
            <w:pPr>
              <w:pStyle w:val="Compact"/>
              <w:jc w:val="left"/>
            </w:pPr>
            <w:r>
              <w:t xml:space="preserve">10,000 × 0.50 = 5,000</w:t>
            </w:r>
          </w:p>
        </w:tc>
        <w:tc>
          <w:tcPr/>
          <w:p>
            <w:pPr>
              <w:pStyle w:val="Compact"/>
              <w:jc w:val="left"/>
            </w:pPr>
            <w:r>
              <w:t xml:space="preserve">5,100</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7,640</w:t>
            </w:r>
          </w:p>
        </w:tc>
        <w:tc>
          <w:tcPr/>
          <w:p>
            <w:pPr>
              <w:pStyle w:val="Compact"/>
              <w:jc w:val="left"/>
            </w:pPr>
            <w:r>
              <w:rPr>
                <w:b/>
                <w:bCs/>
              </w:rPr>
              <w:t xml:space="preserve">7,100</w:t>
            </w:r>
          </w:p>
        </w:tc>
      </w:tr>
    </w:tbl>
    <w:p>
      <w:pPr>
        <w:pStyle w:val="SourceCode"/>
      </w:pPr>
      <w:r>
        <w:rPr>
          <w:rStyle w:val="VerbatimChar"/>
        </w:rPr>
        <w:t xml:space="preserve">performance index  =  actual / planned-by-now  =  7,100 / 7,640  ≈  93%</w:t>
      </w:r>
    </w:p>
    <w:tbl>
      <w:tblPr>
        <w:tblStyle w:val="FigureTable"/>
        <w:tblW w:type="auto" w:w="0"/>
        <w:jc w:val="center"/>
        <w:tblLook w:firstRow="0" w:lastRow="0" w:firstColumn="0" w:lastColumn="0"/>
      </w:tblPr>
      <w:tblGrid>
        <w:gridCol w:w="7920"/>
      </w:tblGrid>
      <w:tr>
        <w:tc>
          <w:tcPr/>
          <w:p>
            <w:pPr>
              <w:pStyle w:val="Compact"/>
              <w:jc w:val="center"/>
            </w:pPr>
            <w:r>
              <w:drawing>
                <wp:inline>
                  <wp:extent cx="5334000" cy="2074333"/>
                  <wp:effectExtent b="0" l="0" r="0" t="0"/>
                  <wp:docPr descr="" title="" id="59" name="Picture"/>
                  <a:graphic>
                    <a:graphicData uri="http://schemas.openxmlformats.org/drawingml/2006/picture">
                      <pic:pic>
                        <pic:nvPicPr>
                          <pic:cNvPr descr="file:///E:/tmp/claude/E--Projects-Submitted-MobileAd-Comverse/464e82cd-870f-4dc1-b795-92348cf1a9b8/scratchpad/figs/fig6.png" id="60" name="Picture"/>
                          <pic:cNvPicPr>
                            <a:picLocks noChangeArrowheads="1" noChangeAspect="1"/>
                          </pic:cNvPicPr>
                        </pic:nvPicPr>
                        <pic:blipFill>
                          <a:blip r:embed="rId58"/>
                          <a:stretch>
                            <a:fillRect/>
                          </a:stretch>
                        </pic:blipFill>
                        <pic:spPr bwMode="auto">
                          <a:xfrm>
                            <a:off x="0" y="0"/>
                            <a:ext cx="5334000" cy="2074333"/>
                          </a:xfrm>
                          <a:prstGeom prst="rect">
                            <a:avLst/>
                          </a:prstGeom>
                          <a:noFill/>
                          <a:ln w="9525">
                            <a:noFill/>
                            <a:headEnd/>
                            <a:tailEnd/>
                          </a:ln>
                        </pic:spPr>
                      </pic:pic>
                    </a:graphicData>
                  </a:graphic>
                </wp:inline>
              </w:drawing>
            </w:r>
          </w:p>
        </w:tc>
      </w:tr>
    </w:tbl>
    <w:p>
      <w:pPr>
        <w:pStyle w:val="ImageCaption"/>
      </w:pPr>
      <w:r>
        <w:t xml:space="preserve">Figure 6.</w:t>
      </w:r>
      <w:r>
        <w:t xml:space="preserve"> </w:t>
      </w:r>
      <w:r>
        <w:t xml:space="preserve">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Campaign</w:t>
            </w:r>
          </w:p>
        </w:tc>
        <w:tc>
          <w:tcPr/>
          <w:p>
            <w:pPr>
              <w:pStyle w:val="Compact"/>
              <w:jc w:val="left"/>
            </w:pPr>
            <w:r>
              <w:t xml:space="preserve">Impression price</w:t>
            </w:r>
          </w:p>
        </w:tc>
        <w:tc>
          <w:tcPr/>
          <w:p>
            <w:pPr>
              <w:pStyle w:val="Compact"/>
              <w:jc w:val="left"/>
            </w:pPr>
            <w:r>
              <w:t xml:space="preserve">Click price</w:t>
            </w:r>
          </w:p>
        </w:tc>
        <w:tc>
          <w:tcPr/>
          <w:p>
            <w:pPr>
              <w:pStyle w:val="Compact"/>
              <w:jc w:val="left"/>
            </w:pPr>
            <w:r>
              <w:t xml:space="preserve">Perf. index</w:t>
            </w:r>
          </w:p>
        </w:tc>
        <w:tc>
          <w:tcPr/>
          <w:p>
            <w:pPr>
              <w:pStyle w:val="Compact"/>
              <w:jc w:val="left"/>
            </w:pPr>
            <w:r>
              <w:t xml:space="preserve">P(click)</w:t>
            </w:r>
          </w:p>
        </w:tc>
        <w:tc>
          <w:tcPr/>
          <w:p>
            <w:pPr>
              <w:pStyle w:val="Compact"/>
              <w:jc w:val="left"/>
            </w:pPr>
            <w:r>
              <w:t xml:space="preserve">Expected revenue</w:t>
            </w:r>
          </w:p>
        </w:tc>
      </w:tr>
      <w:tr>
        <w:tc>
          <w:tcPr/>
          <w:p>
            <w:pPr>
              <w:pStyle w:val="Compact"/>
              <w:jc w:val="left"/>
            </w:pPr>
            <w:r>
              <w:t xml:space="preserve">C1</w:t>
            </w:r>
          </w:p>
        </w:tc>
        <w:tc>
          <w:tcPr/>
          <w:p>
            <w:pPr>
              <w:pStyle w:val="Compact"/>
              <w:jc w:val="left"/>
            </w:pPr>
            <w:r>
              <w:t xml:space="preserve">$0.10</w:t>
            </w:r>
          </w:p>
        </w:tc>
        <w:tc>
          <w:tcPr/>
          <w:p>
            <w:pPr>
              <w:pStyle w:val="Compact"/>
              <w:jc w:val="left"/>
            </w:pPr>
            <w:r>
              <w:t xml:space="preserve">$1.00</w:t>
            </w:r>
          </w:p>
        </w:tc>
        <w:tc>
          <w:tcPr/>
          <w:p>
            <w:pPr>
              <w:pStyle w:val="Compact"/>
              <w:jc w:val="left"/>
            </w:pPr>
            <w:r>
              <w:t xml:space="preserve">55%</w:t>
            </w:r>
          </w:p>
        </w:tc>
        <w:tc>
          <w:tcPr/>
          <w:p>
            <w:pPr>
              <w:pStyle w:val="Compact"/>
              <w:jc w:val="left"/>
            </w:pPr>
            <w:r>
              <w:t xml:space="preserve">0.01</w:t>
            </w:r>
          </w:p>
        </w:tc>
        <w:tc>
          <w:tcPr/>
          <w:p>
            <w:pPr>
              <w:pStyle w:val="Compact"/>
              <w:jc w:val="left"/>
            </w:pPr>
            <w:r>
              <w:t xml:space="preserve">$0.110</w:t>
            </w:r>
          </w:p>
        </w:tc>
      </w:tr>
      <w:tr>
        <w:tc>
          <w:tcPr/>
          <w:p>
            <w:pPr>
              <w:pStyle w:val="Compact"/>
              <w:jc w:val="left"/>
            </w:pPr>
            <w:r>
              <w:t xml:space="preserve">C2</w:t>
            </w:r>
          </w:p>
        </w:tc>
        <w:tc>
          <w:tcPr/>
          <w:p>
            <w:pPr>
              <w:pStyle w:val="Compact"/>
              <w:jc w:val="left"/>
            </w:pPr>
            <w:r>
              <w:t xml:space="preserve">$0.10</w:t>
            </w:r>
          </w:p>
        </w:tc>
        <w:tc>
          <w:tcPr/>
          <w:p>
            <w:pPr>
              <w:pStyle w:val="Compact"/>
              <w:jc w:val="left"/>
            </w:pPr>
            <w:r>
              <w:t xml:space="preserve">$0.80</w:t>
            </w:r>
          </w:p>
        </w:tc>
        <w:tc>
          <w:tcPr/>
          <w:p>
            <w:pPr>
              <w:pStyle w:val="Compact"/>
              <w:jc w:val="left"/>
            </w:pPr>
            <w:r>
              <w:t xml:space="preserve">91%</w:t>
            </w:r>
          </w:p>
        </w:tc>
        <w:tc>
          <w:tcPr/>
          <w:p>
            <w:pPr>
              <w:pStyle w:val="Compact"/>
              <w:jc w:val="left"/>
            </w:pPr>
            <w:r>
              <w:t xml:space="preserve">0.03</w:t>
            </w:r>
          </w:p>
        </w:tc>
        <w:tc>
          <w:tcPr/>
          <w:p>
            <w:pPr>
              <w:pStyle w:val="Compact"/>
              <w:jc w:val="left"/>
            </w:pPr>
            <w:r>
              <w:t xml:space="preserve">$0.124</w:t>
            </w:r>
          </w:p>
        </w:tc>
      </w:tr>
      <w:tr>
        <w:tc>
          <w:tcPr/>
          <w:p>
            <w:pPr>
              <w:pStyle w:val="Compact"/>
              <w:jc w:val="left"/>
            </w:pPr>
            <w:r>
              <w:t xml:space="preserve">C3</w:t>
            </w:r>
          </w:p>
        </w:tc>
        <w:tc>
          <w:tcPr/>
          <w:p>
            <w:pPr>
              <w:pStyle w:val="Compact"/>
              <w:jc w:val="left"/>
            </w:pPr>
            <w:r>
              <w:t xml:space="preserve">$0.10</w:t>
            </w:r>
          </w:p>
        </w:tc>
        <w:tc>
          <w:tcPr/>
          <w:p>
            <w:pPr>
              <w:pStyle w:val="Compact"/>
              <w:jc w:val="left"/>
            </w:pPr>
            <w:r>
              <w:t xml:space="preserve">$1.50</w:t>
            </w:r>
          </w:p>
        </w:tc>
        <w:tc>
          <w:tcPr/>
          <w:p>
            <w:pPr>
              <w:pStyle w:val="Compact"/>
              <w:jc w:val="left"/>
            </w:pPr>
            <w:r>
              <w:t xml:space="preserve">96%</w:t>
            </w:r>
          </w:p>
        </w:tc>
        <w:tc>
          <w:tcPr/>
          <w:p>
            <w:pPr>
              <w:pStyle w:val="Compact"/>
              <w:jc w:val="left"/>
            </w:pPr>
            <w:r>
              <w:t xml:space="preserve">0.02</w:t>
            </w:r>
          </w:p>
        </w:tc>
        <w:tc>
          <w:tcPr/>
          <w:p>
            <w:pPr>
              <w:pStyle w:val="Compact"/>
              <w:jc w:val="left"/>
            </w:pPr>
            <w:r>
              <w:t xml:space="preserve">$0.130</w:t>
            </w:r>
          </w:p>
        </w:tc>
      </w:tr>
      <w:tr>
        <w:tc>
          <w:tcPr/>
          <w:p>
            <w:pPr>
              <w:pStyle w:val="Compact"/>
              <w:jc w:val="left"/>
            </w:pPr>
            <w:r>
              <w:t xml:space="preserve">C4</w:t>
            </w:r>
          </w:p>
        </w:tc>
        <w:tc>
          <w:tcPr/>
          <w:p>
            <w:pPr>
              <w:pStyle w:val="Compact"/>
              <w:jc w:val="left"/>
            </w:pPr>
            <w:r>
              <w:t xml:space="preserve">$0.10</w:t>
            </w:r>
          </w:p>
        </w:tc>
        <w:tc>
          <w:tcPr/>
          <w:p>
            <w:pPr>
              <w:pStyle w:val="Compact"/>
              <w:jc w:val="left"/>
            </w:pPr>
            <w:r>
              <w:t xml:space="preserve">$1.00</w:t>
            </w:r>
          </w:p>
        </w:tc>
        <w:tc>
          <w:tcPr/>
          <w:p>
            <w:pPr>
              <w:pStyle w:val="Compact"/>
              <w:jc w:val="left"/>
            </w:pPr>
            <w:r>
              <w:t xml:space="preserve">128%</w:t>
            </w:r>
          </w:p>
        </w:tc>
        <w:tc>
          <w:tcPr/>
          <w:p>
            <w:pPr>
              <w:pStyle w:val="Compact"/>
              <w:jc w:val="left"/>
            </w:pPr>
            <w:r>
              <w:t xml:space="preserve">0.07</w:t>
            </w:r>
          </w:p>
        </w:tc>
        <w:tc>
          <w:tcPr/>
          <w:p>
            <w:pPr>
              <w:pStyle w:val="Compact"/>
              <w:jc w:val="left"/>
            </w:pPr>
            <w:r>
              <w:t xml:space="preserve">$0.170</w:t>
            </w:r>
          </w:p>
        </w:tc>
      </w:tr>
    </w:tbl>
    <w:p>
      <w:pPr>
        <w:pStyle w:val="BodyText"/>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61"/>
    <w:bookmarkEnd w:id="62"/>
    <w:bookmarkStart w:id="63" w:name="references"/>
    <w:p>
      <w:pPr>
        <w:pStyle w:val="Heading2"/>
      </w:pPr>
      <w:r>
        <w:t xml:space="preserve">References</w:t>
      </w:r>
    </w:p>
    <w:p>
      <w:pPr>
        <w:pStyle w:val="Compact"/>
        <w:numPr>
          <w:ilvl w:val="0"/>
          <w:numId w:val="1004"/>
        </w:numPr>
      </w:pPr>
      <w:r>
        <w:t xml:space="preserve">Q. Huangfu and J. A. J. Hall. Parallelizing the dual revised simplex method.</w:t>
      </w:r>
      <w:r>
        <w:t xml:space="preserve"> </w:t>
      </w:r>
      <w:r>
        <w:rPr>
          <w:i/>
          <w:iCs/>
        </w:rPr>
        <w:t xml:space="preserve">Mathematical Programming Computation</w:t>
      </w:r>
      <w:r>
        <w:t xml:space="preserve">, 10(1):119–142, 2018.</w:t>
      </w:r>
    </w:p>
    <w:p>
      <w:pPr>
        <w:pStyle w:val="Compact"/>
        <w:numPr>
          <w:ilvl w:val="0"/>
          <w:numId w:val="1004"/>
        </w:numPr>
      </w:pPr>
      <w:r>
        <w:t xml:space="preserve">Alibaba Tianchi. Ad Display/Click Data on Taobao.com. Dataset 56, tianchi.aliyun.com/dataset/56, accessed August 2026.</w:t>
      </w:r>
    </w:p>
    <w:p>
      <w:pPr>
        <w:pStyle w:val="Compact"/>
        <w:numPr>
          <w:ilvl w:val="0"/>
          <w:numId w:val="1004"/>
        </w:numPr>
      </w:pP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Compact"/>
        <w:numPr>
          <w:ilvl w:val="0"/>
          <w:numId w:val="1004"/>
        </w:numPr>
      </w:pPr>
      <w:r>
        <w:t xml:space="preserve">Avazu. Click-Through Rate Prediction. Kaggle competition, kaggle.com/c/avazu-ctr-prediction, 2014, accessed August 2026.</w:t>
      </w:r>
    </w:p>
    <w:p>
      <w:pPr>
        <w:pStyle w:val="Compact"/>
        <w:numPr>
          <w:ilvl w:val="0"/>
          <w:numId w:val="1004"/>
        </w:numPr>
      </w:pPr>
      <w:r>
        <w:t xml:space="preserve">A. Mehta. Online Matching and Ad Allocation.</w:t>
      </w:r>
      <w:r>
        <w:t xml:space="preserve"> </w:t>
      </w:r>
      <w:r>
        <w:rPr>
          <w:i/>
          <w:iCs/>
        </w:rPr>
        <w:t xml:space="preserve">Foundations and Trends in Theoretical Computer Science</w:t>
      </w:r>
      <w:r>
        <w:t xml:space="preserve">, 8(4):265–368, 2013.</w:t>
      </w:r>
    </w:p>
    <w:p>
      <w:pPr>
        <w:pStyle w:val="Compact"/>
        <w:numPr>
          <w:ilvl w:val="0"/>
          <w:numId w:val="1004"/>
        </w:numPr>
      </w:pP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Compact"/>
        <w:numPr>
          <w:ilvl w:val="0"/>
          <w:numId w:val="1004"/>
        </w:numPr>
      </w:pP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Compact"/>
        <w:numPr>
          <w:ilvl w:val="0"/>
          <w:numId w:val="1004"/>
        </w:numPr>
      </w:pP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Compact"/>
        <w:numPr>
          <w:ilvl w:val="0"/>
          <w:numId w:val="1004"/>
        </w:numPr>
      </w:pP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Compact"/>
        <w:numPr>
          <w:ilvl w:val="0"/>
          <w:numId w:val="1004"/>
        </w:numPr>
      </w:pPr>
      <w:r>
        <w:t xml:space="preserve">S. Agrawal, Z. Wang, and Y. Ye. A dynamic near-optimal algorithm for online linear programming.</w:t>
      </w:r>
      <w:r>
        <w:t xml:space="preserve"> </w:t>
      </w:r>
      <w:r>
        <w:rPr>
          <w:i/>
          <w:iCs/>
        </w:rPr>
        <w:t xml:space="preserve">Operations Research</w:t>
      </w:r>
      <w:r>
        <w:t xml:space="preserve">, 62(4):876–890, 2014.</w:t>
      </w:r>
    </w:p>
    <w:p>
      <w:pPr>
        <w:pStyle w:val="Compact"/>
        <w:numPr>
          <w:ilvl w:val="0"/>
          <w:numId w:val="1004"/>
        </w:numPr>
      </w:pP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Compact"/>
        <w:numPr>
          <w:ilvl w:val="0"/>
          <w:numId w:val="1004"/>
        </w:numPr>
      </w:pP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Compact"/>
        <w:numPr>
          <w:ilvl w:val="0"/>
          <w:numId w:val="1004"/>
        </w:numPr>
      </w:pP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Compact"/>
        <w:numPr>
          <w:ilvl w:val="0"/>
          <w:numId w:val="1004"/>
        </w:numPr>
      </w:pP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Compact"/>
        <w:numPr>
          <w:ilvl w:val="0"/>
          <w:numId w:val="1004"/>
        </w:numPr>
      </w:pP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Compact"/>
        <w:numPr>
          <w:ilvl w:val="0"/>
          <w:numId w:val="1004"/>
        </w:numPr>
      </w:pP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Compact"/>
        <w:numPr>
          <w:ilvl w:val="0"/>
          <w:numId w:val="1004"/>
        </w:numPr>
      </w:pP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Compact"/>
        <w:numPr>
          <w:ilvl w:val="0"/>
          <w:numId w:val="1004"/>
        </w:numPr>
      </w:pP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Compact"/>
        <w:numPr>
          <w:ilvl w:val="0"/>
          <w:numId w:val="1004"/>
        </w:numPr>
      </w:pP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Compact"/>
        <w:numPr>
          <w:ilvl w:val="0"/>
          <w:numId w:val="1004"/>
        </w:numPr>
      </w:pP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Compact"/>
        <w:numPr>
          <w:ilvl w:val="0"/>
          <w:numId w:val="1004"/>
        </w:numPr>
      </w:pP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Compact"/>
        <w:numPr>
          <w:ilvl w:val="0"/>
          <w:numId w:val="1004"/>
        </w:numPr>
      </w:pP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Compact"/>
        <w:numPr>
          <w:ilvl w:val="0"/>
          <w:numId w:val="1004"/>
        </w:numPr>
      </w:pP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Compact"/>
        <w:numPr>
          <w:ilvl w:val="0"/>
          <w:numId w:val="1004"/>
        </w:numPr>
      </w:pP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FirstParagraph"/>
      </w:pPr>
      <w:r>
        <w:t xml:space="preserve">Preprint, August 2026. Code and replay harness: github.com/ApartsinProjects/optimal-impression-allocation.</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2026-08-31T12:43:21Z</dcterms:created>
  <dcterms:modified xsi:type="dcterms:W3CDTF">2026-08-31T12:43:21Z</dcterms:modified>
</cp:coreProperties>
</file>

<file path=docProps/custom.xml><?xml version="1.0" encoding="utf-8"?>
<Properties xmlns="http://schemas.openxmlformats.org/officeDocument/2006/custom-properties" xmlns:vt="http://schemas.openxmlformats.org/officeDocument/2006/docPropsVTypes"/>
</file>