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Override PartName="/word/media/rId36.png" ContentType="image/png"/>
  <Override PartName="/word/media/rId45.png" ContentType="image/png"/>
  <Override PartName="/word/media/rId49.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Preprint</w:t>
      </w:r>
    </w:p>
    <w:bookmarkStart w:id="20" w:name="segment-where-the-interaction-persists"/>
    <w:p>
      <w:pPr>
        <w:pStyle w:val="Heading1"/>
      </w:pPr>
      <w:r>
        <w:t xml:space="preserve">Segment Where the Interaction Persists</w:t>
      </w:r>
    </w:p>
    <w:p>
      <w:pPr>
        <w:pStyle w:val="FirstParagraph"/>
      </w:pPr>
      <w:r>
        <w:t xml:space="preserve">Planning, Pacing, and a Contention Regime Map for Quota-Constrained Impression Allocation over Fine Audience Segments.</w:t>
      </w:r>
    </w:p>
    <w:p>
      <w:pPr>
        <w:pStyle w:val="BodyText"/>
      </w:pPr>
      <w:r>
        <w:t xml:space="preserve">Alexander Apartsin</w:t>
      </w:r>
      <w:r>
        <w:rPr>
          <w:vertAlign w:val="superscript"/>
        </w:rPr>
        <w:t xml:space="preserve">1</w:t>
      </w:r>
      <w:r>
        <w:t xml:space="preserve"> · Yehudit Aperstein</w:t>
      </w:r>
      <w:r>
        <w:rPr>
          <w:vertAlign w:val="superscript"/>
        </w:rPr>
        <w:t xml:space="preserve">2</w:t>
      </w:r>
    </w:p>
    <w:p>
      <w:pPr>
        <w:pStyle w:val="BodyText"/>
      </w:pPr>
      <w:r>
        <w:rPr>
          <w:vertAlign w:val="superscript"/>
        </w:rPr>
        <w:t xml:space="preserve">1</w:t>
      </w:r>
      <w:r>
        <w:t xml:space="preserve">School of Computer Science, Faculty of Sciences, Holon Institute of Technology (HIT), Holon, Israel</w:t>
      </w:r>
      <w:r>
        <w:br/>
      </w:r>
      <w:r>
        <w:rPr>
          <w:vertAlign w:val="superscript"/>
        </w:rPr>
        <w:t xml:space="preserve">2</w:t>
      </w:r>
      <w:r>
        <w:t xml:space="preserve">Intelligent Systems, Afeka Academic College of Engineering, Tel-Aviv, Israel</w:t>
      </w:r>
    </w:p>
    <w:bookmarkEnd w:id="20"/>
    <w:bookmarkStart w:id="21" w:name="abstract"/>
    <w:p>
      <w:pPr>
        <w:pStyle w:val="Heading2"/>
      </w:pPr>
      <w:r>
        <w:t xml:space="preserve">Abstract</w:t>
      </w:r>
    </w:p>
    <w:p>
      <w:pPr>
        <w:pStyle w:val="FirstParagraph"/>
      </w:pPr>
      <w:r>
        <w:t xml:space="preserve">Under fixed campaign quotas, impression allocation can exploit exactly one statistical object: campaign-by-segment interaction in click-through rate that persists across planning windows. Main effects are neutralized: campaign effects by the quotas, segment effects by supply. We give a pre-committable rule for choosing the segmentation an allocator should use: measure the persistence of double-centered interaction residuals across adjacent planning windows, segment only on the axes that persist, and set granularity in proportion to per-cell data density. On 26.6M impressions of the Taobao display-advertising log, we compute the rule from planning-window data alone, without reference to replay outcomes. It selects the configuration whose replay results match the full ablation ordering: activity tiers pay, demographics and time do not, and finer granularity pays only while cells stay dense. On Avazu the rule ranks axes consistently, and the boundary where a daily plan fails confirms the re-planning timescale it implies. A pre-registered application to a third log (Outbrain), with the configuration frozen before replay, transfers the rule’s persistence ranking and marks its scope: persistence identifies exploitable axes, but contention governs the realized lift. An uncontended market yields little to allocate, whatever the segmentation.</w:t>
      </w:r>
    </w:p>
    <w:p>
      <w:pPr>
        <w:pStyle w:val="BodyText"/>
      </w:pPr>
      <w:r>
        <w:t xml:space="preserve">Evaluation uses a replay protocol hardened against a trap we document: single-model replay inflates lift through a winner’s curse. Dual-model scoring, an exact uniform-null control, support and fatigue audits, and user-clustered inference (headline z = 4.55) delimit what public logs can show, and a semi-synthetic benchmark with a known ground truth confirms the protocol recovers the true policy ranking and the true best policy, even under an adversarial logging policy that selects on the outcome. The protocol yields a regime map. At exact feasibility, plan-informed policies beat greedy serving by 3.5–4.5% expected clicks, and information-matched, feasibility-aware dual-price pacing nearly matches them. Under over-subscription (quotas at 110–150% of supply), online price learning degrades along a spectrum: a scalar controller fails first, and even dual mirror descent, the state-of-the-art adaptive method, tracks the plan through moderate contention but falls below greedy under heavy over-subscription. The periodically re-solved plan dominates every contended regime (+2.2 to +4.3% over greedy, z ≥ 3.4) and is the one price source positive across every contention level, dataset, and objective we test: a fixed dual pinned once at the LP optimum survives the click objective, but under a revenue objective with heterogeneous per-click and per-impression values and delivery penalties it turns negative under contention, so the durable prescription is to obtain prices by solving and re-solving, not by learning them online. The ordering reproduces on a second dataset (Outbrain, 87M impressions), where online pacing deepens to −44%, and the whole regime map transfers to the revenue objective, where the plan tier’s advantage grows as delivery guarantees harden. Grounding the gains in realized outcomes is inconclusive on the small logging-matched subset, an inherent limit of public-log evaluation.</w:t>
      </w:r>
    </w:p>
    <w:bookmarkEnd w:id="21"/>
    <w:bookmarkStart w:id="22" w:name="introduction"/>
    <w:p>
      <w:pPr>
        <w:pStyle w:val="Heading2"/>
      </w:pPr>
      <w:r>
        <w:t xml:space="preserve">1</w:t>
      </w:r>
      <w:r>
        <w:t xml:space="preserve">Introduction</w:t>
      </w:r>
    </w:p>
    <w:p>
      <w:pPr>
        <w:pStyle w:val="FirstParagraph"/>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pPr>
      <w:r>
        <w:t xml:space="preserve">On the open web this failure is blunted by coarseness: broad audiences are interchangeable audiences, so the opportunity cost of a greedy choice is small. Operator-owned advertising markets invert that condition. A platform that owns logged-in, first-party identity, a mobile operator, or, in its largest contemporary form, a retail-media network selling onsite display against its own commerce data, supports far finer segmentation, and fine segmentation is precisely what advertisers pay it for: not “males 18–49” but heavy category buyers on related content in the promotional window. Its campaigns are sold direct as guaranteed impression quotas with makegood penalties, and it controls the whole serving stack, with no auction standing between the plan and the impression. That class of market, whose originating instance is the mobile-operator system of Section 8 and whose largest current one is retail media, is where this study applies; the public commerce-media log we evaluate on (Taobao) is drawn from inside it, not a distant analog.</w:t>
      </w:r>
    </w:p>
    <w:p>
      <w:pPr>
        <w:pStyle w:val="BodyText"/>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5 shows its answer is governed by which interactions persist, not by maximal fineness.</w:t>
      </w:r>
    </w:p>
    <w:p>
      <w:pPr>
        <w:pStyle w:val="BodyText"/>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while solving for the prices does not, a result that holds on a second dataset and under a revenue objective with delivery guarantees.</w:t>
      </w:r>
    </w:p>
    <w:p>
      <w:pPr>
        <w:pStyle w:val="BodyText"/>
      </w:pPr>
      <w:r>
        <w:t xml:space="preserve">Together these compose a three-step rule an operator’s planning team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pPr>
      <w:r>
        <w:t xml:space="preserve">Section 2 quantifies the cost of greedy serving on a minimal instance and Section 3 states the allocation program and its interaction-invariance structure. Section 4 develops the replay protocol and validates it against a known ground truth, Section 5 the persistence rule, and Section 6 the regime map, its cross-dataset and revenue-objective replications. Section 7 calibrates the harness on a synthetic market with known ground truth, Section 8 presents the reference serving architecture that motivated the study, and Section 9 situates the work in the online-allocation and offline-evaluation literature. Sections 10 and 11 close with design principles and scope.</w:t>
      </w:r>
    </w:p>
    <w:bookmarkEnd w:id="22"/>
    <w:bookmarkStart w:id="26" w:name="the-allocation-problem-a-worked-example"/>
    <w:p>
      <w:pPr>
        <w:pStyle w:val="Heading2"/>
      </w:pPr>
      <w:r>
        <w:t xml:space="preserve">2</w:t>
      </w:r>
      <w:r>
        <w:t xml:space="preserve">The allocation problem: a worked example</w:t>
      </w:r>
    </w:p>
    <w:p>
      <w:pPr>
        <w:pStyle w:val="FirstParagraph"/>
      </w:pPr>
      <w:r>
        <w:t xml:space="preserve">Consider the smallest interesting instance.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Subscriber</w:t>
            </w:r>
          </w:p>
        </w:tc>
        <w:tc>
          <w:tcPr/>
          <w:p>
            <w:pPr>
              <w:pStyle w:val="Compact"/>
              <w:jc w:val="left"/>
            </w:pPr>
            <w:r>
              <w:t xml:space="preserve">P(click | drink)</w:t>
            </w:r>
          </w:p>
        </w:tc>
        <w:tc>
          <w:tcPr/>
          <w:p>
            <w:pPr>
              <w:pStyle w:val="Compact"/>
              <w:jc w:val="left"/>
            </w:pPr>
            <w:r>
              <w:t xml:space="preserve">P(click | car)</w:t>
            </w:r>
          </w:p>
        </w:tc>
      </w:tr>
      <w:tr>
        <w:tc>
          <w:tcPr/>
          <w:p>
            <w:pPr>
              <w:pStyle w:val="Compact"/>
              <w:jc w:val="left"/>
            </w:pPr>
            <w:r>
              <w:t xml:space="preserve">u₁</w:t>
            </w:r>
          </w:p>
        </w:tc>
        <w:tc>
          <w:tcPr/>
          <w:p>
            <w:pPr>
              <w:pStyle w:val="Compact"/>
              <w:jc w:val="left"/>
            </w:pPr>
            <w:r>
              <w:t xml:space="preserve">0.10</w:t>
            </w:r>
          </w:p>
        </w:tc>
        <w:tc>
          <w:tcPr/>
          <w:p>
            <w:pPr>
              <w:pStyle w:val="Compact"/>
              <w:jc w:val="left"/>
            </w:pPr>
            <w:r>
              <w:t xml:space="preserve">0.80</w:t>
            </w:r>
          </w:p>
        </w:tc>
      </w:tr>
      <w:tr>
        <w:tc>
          <w:tcPr/>
          <w:p>
            <w:pPr>
              <w:pStyle w:val="Compact"/>
              <w:jc w:val="left"/>
            </w:pPr>
            <w:r>
              <w:t xml:space="preserve">u₂</w:t>
            </w:r>
          </w:p>
        </w:tc>
        <w:tc>
          <w:tcPr/>
          <w:p>
            <w:pPr>
              <w:pStyle w:val="Compact"/>
              <w:jc w:val="left"/>
            </w:pPr>
            <w:r>
              <w:t xml:space="preserve">0.30</w:t>
            </w:r>
          </w:p>
        </w:tc>
        <w:tc>
          <w:tcPr/>
          <w:p>
            <w:pPr>
              <w:pStyle w:val="Compact"/>
              <w:jc w:val="left"/>
            </w:pPr>
            <w:r>
              <w:t xml:space="preserve">0.50</w:t>
            </w:r>
          </w:p>
        </w:tc>
      </w:tr>
      <w:tr>
        <w:tc>
          <w:tcPr/>
          <w:p>
            <w:pPr>
              <w:pStyle w:val="Compact"/>
              <w:jc w:val="left"/>
            </w:pPr>
            <w:r>
              <w:t xml:space="preserve">u₃</w:t>
            </w:r>
          </w:p>
        </w:tc>
        <w:tc>
          <w:tcPr/>
          <w:p>
            <w:pPr>
              <w:pStyle w:val="Compact"/>
              <w:jc w:val="left"/>
            </w:pPr>
            <w:r>
              <w:t xml:space="preserve">0.20</w:t>
            </w:r>
          </w:p>
        </w:tc>
        <w:tc>
          <w:tcPr/>
          <w:p>
            <w:pPr>
              <w:pStyle w:val="Compact"/>
              <w:jc w:val="left"/>
            </w:pPr>
            <w:r>
              <w:t xml:space="preserve">0.60</w:t>
            </w:r>
          </w:p>
        </w:tc>
      </w:tr>
      <w:tr>
        <w:tc>
          <w:tcPr/>
          <w:p>
            <w:pPr>
              <w:pStyle w:val="Compact"/>
              <w:jc w:val="left"/>
            </w:pPr>
            <w:r>
              <w:t xml:space="preserve">u₄</w:t>
            </w:r>
          </w:p>
        </w:tc>
        <w:tc>
          <w:tcPr/>
          <w:p>
            <w:pPr>
              <w:pStyle w:val="Compact"/>
              <w:jc w:val="left"/>
            </w:pPr>
            <w:r>
              <w:t xml:space="preserve">0.40</w:t>
            </w:r>
          </w:p>
        </w:tc>
        <w:tc>
          <w:tcPr/>
          <w:p>
            <w:pPr>
              <w:pStyle w:val="Compact"/>
              <w:jc w:val="left"/>
            </w:pPr>
            <w:r>
              <w:t xml:space="preserve">0.70</w:t>
            </w:r>
          </w:p>
        </w:tc>
      </w:tr>
    </w:tbl>
    <w:p>
      <w:pPr>
        <w:pStyle w:val="BodyText"/>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222500"/>
                  <wp:effectExtent b="0" l="0" r="0" t="0"/>
                  <wp:docPr descr="" title="" id="24" name="Picture"/>
                  <a:graphic>
                    <a:graphicData uri="http://schemas.openxmlformats.org/drawingml/2006/picture">
                      <pic:pic>
                        <pic:nvPicPr>
                          <pic:cNvPr descr="file:///E:/tmp/claude/E--Projects-Submitted-MobileAd-Comverse/464e82cd-870f-4dc1-b795-92348cf1a9b8/scratchpad/figs/fig1.png" id="25" name="Picture"/>
                          <pic:cNvPicPr>
                            <a:picLocks noChangeArrowheads="1" noChangeAspect="1"/>
                          </pic:cNvPicPr>
                        </pic:nvPicPr>
                        <pic:blipFill>
                          <a:blip r:embed="rId23"/>
                          <a:stretch>
                            <a:fillRect/>
                          </a:stretch>
                        </pic:blipFill>
                        <pic:spPr bwMode="auto">
                          <a:xfrm>
                            <a:off x="0" y="0"/>
                            <a:ext cx="5334000" cy="2222500"/>
                          </a:xfrm>
                          <a:prstGeom prst="rect">
                            <a:avLst/>
                          </a:prstGeom>
                          <a:noFill/>
                          <a:ln w="9525">
                            <a:noFill/>
                            <a:headEnd/>
                            <a:tailEnd/>
                          </a:ln>
                        </pic:spPr>
                      </pic:pic>
                    </a:graphicData>
                  </a:graphic>
                </wp:inline>
              </w:drawing>
            </w:r>
          </w:p>
        </w:tc>
      </w:tr>
    </w:tbl>
    <w:p>
      <w:pPr>
        <w:pStyle w:val="ImageCaption"/>
      </w:pPr>
      <w:r>
        <w:t xml:space="preserve">Figure 1.</w:t>
      </w:r>
      <w:r>
        <w:t xml:space="preserve"> </w:t>
      </w:r>
      <w:r>
        <w:t xml:space="preserve">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26"/>
    <w:bookmarkStart w:id="28" w:name="formulation"/>
    <w:p>
      <w:pPr>
        <w:pStyle w:val="Heading2"/>
      </w:pPr>
      <w:r>
        <w:t xml:space="preserve">3</w:t>
      </w:r>
      <w:r>
        <w:t xml:space="preserve">Formulation</w:t>
      </w:r>
    </w:p>
    <w:p>
      <w:pPr>
        <w:pStyle w:val="FirstParagraph"/>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SourceCode"/>
      </w:pPr>
      <w:r>
        <w:rPr>
          <w:rStyle w:val="VerbatimChar"/>
        </w:rPr>
        <w:t xml:space="preserve">maximize    Σc,s  xc,s · ( rc + qc · pc,s )</w:t>
      </w:r>
      <w:r>
        <w:br/>
      </w:r>
      <w:r>
        <w:br/>
      </w:r>
      <w:r>
        <w:rPr>
          <w:rStyle w:val="VerbatimChar"/>
        </w:rPr>
        <w:t xml:space="preserve">subject to  Σc xc,s  ≤  Hs        (segment supply)</w:t>
      </w:r>
      <w:r>
        <w:br/>
      </w:r>
      <w:r>
        <w:rPr>
          <w:rStyle w:val="VerbatimChar"/>
        </w:rPr>
        <w:t xml:space="preserve">            Σs xc,s  ≤  Qc        (campaign quota)</w:t>
      </w:r>
      <w:r>
        <w:br/>
      </w:r>
      <w:r>
        <w:rPr>
          <w:rStyle w:val="VerbatimChar"/>
        </w:rPr>
        <w:t xml:space="preserve">            xc,s = 0 where targeting excludes (c, s)</w:t>
      </w:r>
      <w:r>
        <w:br/>
      </w:r>
      <w:r>
        <w:rPr>
          <w:rStyle w:val="VerbatimChar"/>
        </w:rPr>
        <w:t xml:space="preserve">            xc,s  ≥  0</w:t>
      </w:r>
    </w:p>
    <w:p>
      <w:pPr>
        <w:pStyle w:val="FirstParagraph"/>
      </w:pPr>
      <w:r>
        <w:t xml:space="preserve">Figure 1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6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27" w:name="Xb8b18ac5c60ec5742410ace98e579bc138671d3"/>
    <w:p>
      <w:pPr>
        <w:pStyle w:val="Heading3"/>
      </w:pPr>
      <w:r>
        <w:t xml:space="preserve">3.1 Interaction invariance under fixed margins</w:t>
      </w:r>
    </w:p>
    <w:p>
      <w:pPr>
        <w:pStyle w:val="FirstParagraph"/>
      </w:pPr>
      <w:r>
        <w:t xml:space="preserve">The value matrix admits an additive decomposition into a campaign main effect, a segment main effect, and an interaction residual,</w:t>
      </w:r>
    </w:p>
    <w:p>
      <w:pPr>
        <w:pStyle w:val="SourceCode"/>
      </w:pPr>
      <w:r>
        <w:rPr>
          <w:rStyle w:val="VerbatimChar"/>
        </w:rPr>
        <w:t xml:space="preserve">vcs  =  ac  +  bs  +  gcs,</w:t>
      </w:r>
    </w:p>
    <w:p>
      <w:pPr>
        <w:pStyle w:val="FirstParagraph"/>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SourceCode"/>
      </w:pPr>
      <w:r>
        <w:rPr>
          <w:rStyle w:val="VerbatimChar"/>
        </w:rPr>
        <w:t xml:space="preserve">V(x) − V(x′)  =  Σc,s ( xc,s − x′c,s ) · gc,s.</w:t>
      </w:r>
    </w:p>
    <w:p>
      <w:pPr>
        <w:pStyle w:val="FirstParagraph"/>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p>
      <w:pPr>
        <w:pStyle w:val="BodyText"/>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5 turns this into a selection rule. Four corollaries fix the scope precisely.</w:t>
      </w:r>
    </w:p>
    <w:p>
      <w:pPr>
        <w:pStyle w:val="Compact"/>
        <w:numPr>
          <w:ilvl w:val="0"/>
          <w:numId w:val="1001"/>
        </w:numPr>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pPr>
      <w:r>
        <w:rPr>
          <w:b/>
          <w:bCs/>
        </w:rPr>
        <w:t xml:space="preserve">Over-subscription.</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6 probe, and it is why policy orderings there differ from the feasible case.</w:t>
      </w:r>
    </w:p>
    <w:bookmarkEnd w:id="27"/>
    <w:bookmarkEnd w:id="28"/>
    <w:bookmarkStart w:id="30" w:name="replay-evaluation-protocol"/>
    <w:p>
      <w:pPr>
        <w:pStyle w:val="Heading2"/>
      </w:pPr>
      <w:r>
        <w:t xml:space="preserve">4</w:t>
      </w:r>
      <w:r>
        <w:t xml:space="preserve">Replay evaluation protocol</w:t>
      </w:r>
    </w:p>
    <w:p>
      <w:pPr>
        <w:pStyle w:val="FirstParagraph"/>
      </w:pPr>
      <w:r>
        <w:t xml:space="preserve">A synthetic market controls everything (Section 7); real logs control nothing, which is the point. The core experiments replay the public Taobao display-advertising dataset [2, 3]: 26.6 million impressions over 8 days in May 2017, roughly 1.1 million users with declared demographics, and explicit campaign identifiers, an in-vertical commerce-media log rather than a distant analog to an operator’s data (Sections 5 and 6 add Avazu and Outbrain as the churn and contention boundaries).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does not rest on extrapolated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Section 8.2 (soft-membership blending, frequency caps, threshold pacing) operate below this granularity and are not exercised by these experiments.</w:t>
      </w:r>
    </w:p>
    <w:bookmarkStart w:id="29" w:name="X888dfabe7f5ac870af14768d223c176646b6318"/>
    <w:p>
      <w:pPr>
        <w:pStyle w:val="Heading3"/>
      </w:pPr>
      <w:r>
        <w:t xml:space="preserve">4.1</w:t>
      </w:r>
      <w:r>
        <w:t xml:space="preserve">Does model-scored replay recover the truth?</w:t>
      </w:r>
    </w:p>
    <w:p>
      <w:pPr>
        <w:pStyle w:val="FirstParagraph"/>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29"/>
    <w:bookmarkEnd w:id="30"/>
    <w:bookmarkStart w:id="31" w:name="the-persistence-rule"/>
    <w:p>
      <w:pPr>
        <w:pStyle w:val="Heading2"/>
      </w:pPr>
      <w:r>
        <w:t xml:space="preserve">5</w:t>
      </w:r>
      <w:r>
        <w:t xml:space="preserve">The persistence rule</w:t>
      </w:r>
    </w:p>
    <w:p>
      <w:pPr>
        <w:pStyle w:val="FirstParagraph"/>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Segmentation axis</w:t>
            </w:r>
          </w:p>
        </w:tc>
        <w:tc>
          <w:tcPr/>
          <w:p>
            <w:pPr>
              <w:pStyle w:val="Compact"/>
              <w:jc w:val="left"/>
            </w:pPr>
            <w:r>
              <w:t xml:space="preserve">Interaction persistence (r)</w:t>
            </w:r>
          </w:p>
        </w:tc>
        <w:tc>
          <w:tcPr/>
          <w:p>
            <w:pPr>
              <w:pStyle w:val="Compact"/>
              <w:jc w:val="left"/>
            </w:pPr>
            <w:r>
              <w:t xml:space="preserve">Interaction size beyond noise</w:t>
            </w:r>
          </w:p>
        </w:tc>
      </w:tr>
      <w:tr>
        <w:tc>
          <w:tcPr/>
          <w:p>
            <w:pPr>
              <w:pStyle w:val="Compact"/>
              <w:jc w:val="left"/>
            </w:pPr>
            <w:r>
              <w:t xml:space="preserve">Activity tier (usage volume)</w:t>
            </w:r>
          </w:p>
        </w:tc>
        <w:tc>
          <w:tcPr/>
          <w:p>
            <w:pPr>
              <w:pStyle w:val="Compact"/>
              <w:jc w:val="left"/>
            </w:pPr>
            <w:r>
              <w:t xml:space="preserve">0.48–0.54</w:t>
            </w:r>
          </w:p>
        </w:tc>
        <w:tc>
          <w:tcPr/>
          <w:p>
            <w:pPr>
              <w:pStyle w:val="Compact"/>
              <w:jc w:val="left"/>
            </w:pPr>
            <w:r>
              <w:t xml:space="preserve">~1pp on a 5.5pp base</w:t>
            </w:r>
          </w:p>
        </w:tc>
      </w:tr>
      <w:tr>
        <w:tc>
          <w:tcPr/>
          <w:p>
            <w:pPr>
              <w:pStyle w:val="Compact"/>
              <w:jc w:val="left"/>
            </w:pPr>
            <w:r>
              <w:t xml:space="preserve">Gender × age</w:t>
            </w:r>
          </w:p>
        </w:tc>
        <w:tc>
          <w:tcPr/>
          <w:p>
            <w:pPr>
              <w:pStyle w:val="Compact"/>
              <w:jc w:val="left"/>
            </w:pPr>
            <w:r>
              <w:t xml:space="preserve">0.28</w:t>
            </w:r>
          </w:p>
        </w:tc>
        <w:tc>
          <w:tcPr/>
          <w:p>
            <w:pPr>
              <w:pStyle w:val="Compact"/>
              <w:jc w:val="left"/>
            </w:pPr>
            <w:r>
              <w:t xml:space="preserve">~0.5pp</w:t>
            </w:r>
          </w:p>
        </w:tc>
      </w:tr>
      <w:tr>
        <w:tc>
          <w:tcPr/>
          <w:p>
            <w:pPr>
              <w:pStyle w:val="Compact"/>
              <w:jc w:val="left"/>
            </w:pPr>
            <w:r>
              <w:t xml:space="preserve">Hour × position slot</w:t>
            </w:r>
          </w:p>
        </w:tc>
        <w:tc>
          <w:tcPr/>
          <w:p>
            <w:pPr>
              <w:pStyle w:val="Compact"/>
              <w:jc w:val="left"/>
            </w:pPr>
            <w:r>
              <w:t xml:space="preserve">0.08</w:t>
            </w:r>
          </w:p>
        </w:tc>
        <w:tc>
          <w:tcPr/>
          <w:p>
            <w:pPr>
              <w:pStyle w:val="Compact"/>
              <w:jc w:val="left"/>
            </w:pPr>
            <w:r>
              <w:t xml:space="preserve">~0</w:t>
            </w:r>
          </w:p>
        </w:tc>
      </w:tr>
    </w:tbl>
    <w:p>
      <w:pPr>
        <w:pStyle w:val="BodyText"/>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Segments</w:t>
            </w:r>
          </w:p>
        </w:tc>
        <w:tc>
          <w:tcPr/>
          <w:p>
            <w:pPr>
              <w:pStyle w:val="Compact"/>
              <w:jc w:val="left"/>
            </w:pPr>
            <w:r>
              <w:t xml:space="preserve">Count</w:t>
            </w:r>
          </w:p>
        </w:tc>
        <w:tc>
          <w:tcPr/>
          <w:p>
            <w:pPr>
              <w:pStyle w:val="Compact"/>
              <w:jc w:val="left"/>
            </w:pPr>
            <w:r>
              <w:t xml:space="preserve">Planned vs greedy</w:t>
            </w:r>
          </w:p>
        </w:tc>
        <w:tc>
          <w:tcPr/>
          <w:p>
            <w:pPr>
              <w:pStyle w:val="Compact"/>
              <w:jc w:val="left"/>
            </w:pPr>
            <w:r>
              <w:t xml:space="preserve">z</w:t>
            </w:r>
          </w:p>
        </w:tc>
        <w:tc>
          <w:tcPr/>
          <w:p>
            <w:pPr>
              <w:pStyle w:val="Compact"/>
              <w:jc w:val="left"/>
            </w:pPr>
            <w:r>
              <w:t xml:space="preserve">Planned vs adaptive pacing</w:t>
            </w:r>
          </w:p>
        </w:tc>
        <w:tc>
          <w:tcPr/>
          <w:p>
            <w:pPr>
              <w:pStyle w:val="Compact"/>
              <w:jc w:val="left"/>
            </w:pPr>
            <w:r>
              <w:t xml:space="preserve">z</w:t>
            </w:r>
          </w:p>
        </w:tc>
      </w:tr>
      <w:tr>
        <w:tc>
          <w:tcPr/>
          <w:p>
            <w:pPr>
              <w:pStyle w:val="Compact"/>
              <w:jc w:val="left"/>
            </w:pPr>
            <w:r>
              <w:rPr>
                <w:b/>
                <w:bCs/>
              </w:rPr>
              <w:t xml:space="preserve">Activity, 8 tiers (pre-committed)</w:t>
            </w:r>
          </w:p>
        </w:tc>
        <w:tc>
          <w:tcPr/>
          <w:p>
            <w:pPr>
              <w:pStyle w:val="Compact"/>
              <w:jc w:val="left"/>
            </w:pPr>
            <w:r>
              <w:t xml:space="preserve">8</w:t>
            </w:r>
          </w:p>
        </w:tc>
        <w:tc>
          <w:tcPr/>
          <w:p>
            <w:pPr>
              <w:pStyle w:val="Compact"/>
              <w:jc w:val="left"/>
            </w:pPr>
            <w:r>
              <w:rPr>
                <w:b/>
                <w:bCs/>
              </w:rPr>
              <w:t xml:space="preserve">+3.46% ± 0.69pp</w:t>
            </w:r>
          </w:p>
        </w:tc>
        <w:tc>
          <w:tcPr/>
          <w:p>
            <w:pPr>
              <w:pStyle w:val="Compact"/>
              <w:jc w:val="left"/>
            </w:pPr>
            <w:r>
              <w:t xml:space="preserve">+5.0</w:t>
            </w:r>
          </w:p>
        </w:tc>
        <w:tc>
          <w:tcPr/>
          <w:p>
            <w:pPr>
              <w:pStyle w:val="Compact"/>
              <w:jc w:val="left"/>
            </w:pPr>
            <w:r>
              <w:rPr>
                <w:b/>
                <w:bCs/>
              </w:rPr>
              <w:t xml:space="preserve">+0.92% ± 0.47pp</w:t>
            </w:r>
          </w:p>
        </w:tc>
        <w:tc>
          <w:tcPr/>
          <w:p>
            <w:pPr>
              <w:pStyle w:val="Compact"/>
              <w:jc w:val="left"/>
            </w:pPr>
            <w:r>
              <w:t xml:space="preserve">+2.0</w:t>
            </w:r>
          </w:p>
        </w:tc>
      </w:tr>
      <w:tr>
        <w:tc>
          <w:tcPr/>
          <w:p>
            <w:pPr>
              <w:pStyle w:val="Compact"/>
              <w:jc w:val="left"/>
            </w:pPr>
            <w:r>
              <w:t xml:space="preserve">Activity, 4 tiers</w:t>
            </w:r>
          </w:p>
        </w:tc>
        <w:tc>
          <w:tcPr/>
          <w:p>
            <w:pPr>
              <w:pStyle w:val="Compact"/>
              <w:jc w:val="left"/>
            </w:pPr>
            <w:r>
              <w:t xml:space="preserve">4</w:t>
            </w:r>
          </w:p>
        </w:tc>
        <w:tc>
          <w:tcPr/>
          <w:p>
            <w:pPr>
              <w:pStyle w:val="Compact"/>
              <w:jc w:val="left"/>
            </w:pPr>
            <w:r>
              <w:t xml:space="preserve">+2.51% ± 0.50pp</w:t>
            </w:r>
          </w:p>
        </w:tc>
        <w:tc>
          <w:tcPr/>
          <w:p>
            <w:pPr>
              <w:pStyle w:val="Compact"/>
              <w:jc w:val="left"/>
            </w:pPr>
            <w:r>
              <w:t xml:space="preserve">+5.0</w:t>
            </w:r>
          </w:p>
        </w:tc>
        <w:tc>
          <w:tcPr/>
          <w:p>
            <w:pPr>
              <w:pStyle w:val="Compact"/>
              <w:jc w:val="left"/>
            </w:pPr>
            <w:r>
              <w:t xml:space="preserve">+1.15% ± 0.31pp</w:t>
            </w:r>
          </w:p>
        </w:tc>
        <w:tc>
          <w:tcPr/>
          <w:p>
            <w:pPr>
              <w:pStyle w:val="Compact"/>
              <w:jc w:val="left"/>
            </w:pPr>
            <w:r>
              <w:t xml:space="preserve">+3.7</w:t>
            </w:r>
          </w:p>
        </w:tc>
      </w:tr>
      <w:tr>
        <w:tc>
          <w:tcPr/>
          <w:p>
            <w:pPr>
              <w:pStyle w:val="Compact"/>
              <w:jc w:val="left"/>
            </w:pPr>
            <w:r>
              <w:t xml:space="preserve">Tier × demographics</w:t>
            </w:r>
          </w:p>
        </w:tc>
        <w:tc>
          <w:tcPr/>
          <w:p>
            <w:pPr>
              <w:pStyle w:val="Compact"/>
              <w:jc w:val="left"/>
            </w:pPr>
            <w:r>
              <w:t xml:space="preserve">168</w:t>
            </w:r>
          </w:p>
        </w:tc>
        <w:tc>
          <w:tcPr/>
          <w:p>
            <w:pPr>
              <w:pStyle w:val="Compact"/>
              <w:jc w:val="left"/>
            </w:pPr>
            <w:r>
              <w:t xml:space="preserve">+1.93% ± 0.91pp</w:t>
            </w:r>
          </w:p>
        </w:tc>
        <w:tc>
          <w:tcPr/>
          <w:p>
            <w:pPr>
              <w:pStyle w:val="Compact"/>
              <w:jc w:val="left"/>
            </w:pPr>
            <w:r>
              <w:t xml:space="preserve">+2.1</w:t>
            </w:r>
          </w:p>
        </w:tc>
        <w:tc>
          <w:tcPr/>
          <w:p>
            <w:pPr>
              <w:pStyle w:val="Compact"/>
              <w:jc w:val="left"/>
            </w:pPr>
            <w:r>
              <w:t xml:space="preserve">+0.40%</w:t>
            </w:r>
          </w:p>
        </w:tc>
        <w:tc>
          <w:tcPr/>
          <w:p>
            <w:pPr>
              <w:pStyle w:val="Compact"/>
              <w:jc w:val="left"/>
            </w:pPr>
            <w:r>
              <w:t xml:space="preserve">+0.6</w:t>
            </w:r>
          </w:p>
        </w:tc>
      </w:tr>
      <w:tr>
        <w:tc>
          <w:tcPr/>
          <w:p>
            <w:pPr>
              <w:pStyle w:val="Compact"/>
              <w:jc w:val="left"/>
            </w:pPr>
            <w:r>
              <w:t xml:space="preserve">Demographics only</w:t>
            </w:r>
          </w:p>
        </w:tc>
        <w:tc>
          <w:tcPr/>
          <w:p>
            <w:pPr>
              <w:pStyle w:val="Compact"/>
              <w:jc w:val="left"/>
            </w:pPr>
            <w:r>
              <w:t xml:space="preserve">48</w:t>
            </w:r>
          </w:p>
        </w:tc>
        <w:tc>
          <w:tcPr/>
          <w:p>
            <w:pPr>
              <w:pStyle w:val="Compact"/>
              <w:jc w:val="left"/>
            </w:pPr>
            <w:r>
              <w:t xml:space="preserve">−0.20% ± 0.61pp</w:t>
            </w:r>
          </w:p>
        </w:tc>
        <w:tc>
          <w:tcPr/>
          <w:p>
            <w:pPr>
              <w:pStyle w:val="Compact"/>
              <w:jc w:val="left"/>
            </w:pPr>
            <w:r>
              <w:t xml:space="preserve">−0.3</w:t>
            </w:r>
          </w:p>
        </w:tc>
        <w:tc>
          <w:tcPr/>
          <w:p>
            <w:pPr>
              <w:pStyle w:val="Compact"/>
              <w:jc w:val="left"/>
            </w:pPr>
            <w:r>
              <w:t xml:space="preserve">+0.46%</w:t>
            </w:r>
          </w:p>
        </w:tc>
        <w:tc>
          <w:tcPr/>
          <w:p>
            <w:pPr>
              <w:pStyle w:val="Compact"/>
              <w:jc w:val="left"/>
            </w:pPr>
            <w:r>
              <w:t xml:space="preserve">+1.1</w:t>
            </w:r>
          </w:p>
        </w:tc>
      </w:tr>
    </w:tbl>
    <w:p>
      <w:pPr>
        <w:pStyle w:val="BodyText"/>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11 states. With that rule applied, the replayed policies capture 85–91% of the hindsight bound; the residual is the estimation noise and week-over-week drift that the pacing loop of Section 8.2 exists to absorb.</w:t>
      </w:r>
    </w:p>
    <w:p>
      <w:pPr>
        <w:pStyle w:val="BodyText"/>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pPr>
      <w:r>
        <w:t xml:space="preserve">These two components combine into a single selection procedure that runs on planning-window data alone and returns a segmentation, or abstains, before any serving outcome is seen.</w:t>
      </w:r>
    </w:p>
    <w:p>
      <w:pPr>
        <w:pStyle w:val="BodyText"/>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SourceCode"/>
      </w:pPr>
      <w:r>
        <w:rPr>
          <w:rStyle w:val="VerbatimChar"/>
        </w:rPr>
        <w:t xml:space="preserve">d* = max { d : median(c,s): xplancs&gt;0 Ntraincs  ≥  nmin },   nmin ≈ p̄(1−p̄) / σγ2,</w:t>
      </w:r>
    </w:p>
    <w:p>
      <w:pPr>
        <w:pStyle w:val="FirstParagraph"/>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6: contended Taobao rewards the segmentation, uncontended Outbrain does not until the demand regime is stressed.</w:t>
      </w:r>
    </w:p>
    <w:p>
      <w:pPr>
        <w:pStyle w:val="BodyText"/>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31"/>
    <w:bookmarkStart w:id="35" w:name="the-regime-map"/>
    <w:p>
      <w:pPr>
        <w:pStyle w:val="Heading2"/>
      </w:pPr>
      <w:r>
        <w:t xml:space="preserve">6</w:t>
      </w:r>
      <w:r>
        <w:t xml:space="preserve">The regime map</w:t>
      </w:r>
    </w:p>
    <w:p>
      <w:pPr>
        <w:pStyle w:val="FirstParagraph"/>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Six policies, alongside greedy, replay each regime on the pre-committed configuration: the static plan; a periodically re-solved plan (the same LP re-solved on remaining quotas and prorated remaining supply every 20,000 impressions); a scalar dual-price pacing controller; the fixed optimal dual; and dual mirror descent in Euclidean and entropic geometries. The dual-price policies and their tuning are specified below. Lift versus greedy, combined over the five walk-forward folds, with z in parentheses: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Quota scale</w:t>
            </w:r>
          </w:p>
        </w:tc>
        <w:tc>
          <w:tcPr/>
          <w:p>
            <w:pPr>
              <w:pStyle w:val="Compact"/>
              <w:jc w:val="left"/>
            </w:pPr>
            <w:r>
              <w:t xml:space="preserve">Static plan</w:t>
            </w:r>
          </w:p>
        </w:tc>
        <w:tc>
          <w:tcPr/>
          <w:p>
            <w:pPr>
              <w:pStyle w:val="Compact"/>
              <w:jc w:val="left"/>
            </w:pPr>
            <w:r>
              <w:t xml:space="preserve">Re-solved plan</w:t>
            </w:r>
          </w:p>
        </w:tc>
        <w:tc>
          <w:tcPr/>
          <w:p>
            <w:pPr>
              <w:pStyle w:val="Compact"/>
              <w:jc w:val="left"/>
            </w:pPr>
            <w:r>
              <w:t xml:space="preserve">Fixed optimal dual</w:t>
            </w:r>
          </w:p>
        </w:tc>
        <w:tc>
          <w:tcPr/>
          <w:p>
            <w:pPr>
              <w:pStyle w:val="Compact"/>
              <w:jc w:val="left"/>
            </w:pPr>
            <w:r>
              <w:t xml:space="preserve">DMD, entropic</w:t>
            </w:r>
          </w:p>
        </w:tc>
        <w:tc>
          <w:tcPr/>
          <w:p>
            <w:pPr>
              <w:pStyle w:val="Compact"/>
              <w:jc w:val="left"/>
            </w:pPr>
            <w:r>
              <w:t xml:space="preserve">DMD, Euclidean</w:t>
            </w:r>
          </w:p>
        </w:tc>
        <w:tc>
          <w:tcPr/>
          <w:p>
            <w:pPr>
              <w:pStyle w:val="Compact"/>
              <w:jc w:val="left"/>
            </w:pPr>
            <w:r>
              <w:t xml:space="preserve">Scalar pacing</w:t>
            </w:r>
          </w:p>
        </w:tc>
      </w:tr>
      <w:tr>
        <w:tc>
          <w:tcPr/>
          <w:p>
            <w:pPr>
              <w:pStyle w:val="Compact"/>
              <w:jc w:val="left"/>
            </w:pPr>
            <w:r>
              <w:t xml:space="preserve">1.0</w:t>
            </w:r>
          </w:p>
        </w:tc>
        <w:tc>
          <w:tcPr/>
          <w:p>
            <w:pPr>
              <w:pStyle w:val="Compact"/>
              <w:jc w:val="left"/>
            </w:pPr>
            <w:r>
              <w:t xml:space="preserve">+3.46% (5.0)</w:t>
            </w:r>
          </w:p>
        </w:tc>
        <w:tc>
          <w:tcPr/>
          <w:p>
            <w:pPr>
              <w:pStyle w:val="Compact"/>
              <w:jc w:val="left"/>
            </w:pPr>
            <w:r>
              <w:t xml:space="preserve">+4.27% (6.1)</w:t>
            </w:r>
          </w:p>
        </w:tc>
        <w:tc>
          <w:tcPr/>
          <w:p>
            <w:pPr>
              <w:pStyle w:val="Compact"/>
              <w:jc w:val="left"/>
            </w:pPr>
            <w:r>
              <w:t xml:space="preserve">+4.45% (6.4)</w:t>
            </w:r>
          </w:p>
        </w:tc>
        <w:tc>
          <w:tcPr/>
          <w:p>
            <w:pPr>
              <w:pStyle w:val="Compact"/>
              <w:jc w:val="left"/>
            </w:pPr>
            <w:r>
              <w:t xml:space="preserve">+4.54% (6.8)</w:t>
            </w:r>
          </w:p>
        </w:tc>
        <w:tc>
          <w:tcPr/>
          <w:p>
            <w:pPr>
              <w:pStyle w:val="Compact"/>
              <w:jc w:val="left"/>
            </w:pPr>
            <w:r>
              <w:t xml:space="preserve">+4.73% (7.1)</w:t>
            </w:r>
          </w:p>
        </w:tc>
        <w:tc>
          <w:tcPr/>
          <w:p>
            <w:pPr>
              <w:pStyle w:val="Compact"/>
              <w:jc w:val="left"/>
            </w:pPr>
            <w:r>
              <w:t xml:space="preserve">+3.86% (6.3)</w:t>
            </w:r>
          </w:p>
        </w:tc>
      </w:tr>
      <w:tr>
        <w:tc>
          <w:tcPr/>
          <w:p>
            <w:pPr>
              <w:pStyle w:val="Compact"/>
              <w:jc w:val="left"/>
            </w:pPr>
            <w:r>
              <w:t xml:space="preserve">1.1</w:t>
            </w:r>
          </w:p>
        </w:tc>
        <w:tc>
          <w:tcPr/>
          <w:p>
            <w:pPr>
              <w:pStyle w:val="Compact"/>
              <w:jc w:val="left"/>
            </w:pPr>
            <w:r>
              <w:t xml:space="preserve">+2.16% (3.1)</w:t>
            </w:r>
          </w:p>
        </w:tc>
        <w:tc>
          <w:tcPr/>
          <w:p>
            <w:pPr>
              <w:pStyle w:val="Compact"/>
              <w:jc w:val="left"/>
            </w:pPr>
            <w:r>
              <w:t xml:space="preserve">+3.49% (5.2)</w:t>
            </w:r>
          </w:p>
        </w:tc>
        <w:tc>
          <w:tcPr/>
          <w:p>
            <w:pPr>
              <w:pStyle w:val="Compact"/>
              <w:jc w:val="left"/>
            </w:pPr>
            <w:r>
              <w:t xml:space="preserve">+2.41% (3.8)</w:t>
            </w:r>
          </w:p>
        </w:tc>
        <w:tc>
          <w:tcPr/>
          <w:p>
            <w:pPr>
              <w:pStyle w:val="Compact"/>
              <w:jc w:val="left"/>
            </w:pPr>
            <w:r>
              <w:t xml:space="preserve">+3.62% (5.7)</w:t>
            </w:r>
          </w:p>
        </w:tc>
        <w:tc>
          <w:tcPr/>
          <w:p>
            <w:pPr>
              <w:pStyle w:val="Compact"/>
              <w:jc w:val="left"/>
            </w:pPr>
            <w:r>
              <w:t xml:space="preserve">+2.65% (4.3)</w:t>
            </w:r>
          </w:p>
        </w:tc>
        <w:tc>
          <w:tcPr/>
          <w:p>
            <w:pPr>
              <w:pStyle w:val="Compact"/>
              <w:jc w:val="left"/>
            </w:pPr>
            <w:r>
              <w:t xml:space="preserve">+0.73% (1.4)</w:t>
            </w:r>
          </w:p>
        </w:tc>
      </w:tr>
      <w:tr>
        <w:tc>
          <w:tcPr/>
          <w:p>
            <w:pPr>
              <w:pStyle w:val="Compact"/>
              <w:jc w:val="left"/>
            </w:pPr>
            <w:r>
              <w:t xml:space="preserve">1.25</w:t>
            </w:r>
          </w:p>
        </w:tc>
        <w:tc>
          <w:tcPr/>
          <w:p>
            <w:pPr>
              <w:pStyle w:val="Compact"/>
              <w:jc w:val="left"/>
            </w:pPr>
            <w:r>
              <w:t xml:space="preserve">+1.56% (2.2)</w:t>
            </w:r>
          </w:p>
        </w:tc>
        <w:tc>
          <w:tcPr/>
          <w:p>
            <w:pPr>
              <w:pStyle w:val="Compact"/>
              <w:jc w:val="left"/>
            </w:pPr>
            <w:r>
              <w:t xml:space="preserve">+3.39% (5.2)</w:t>
            </w:r>
          </w:p>
        </w:tc>
        <w:tc>
          <w:tcPr/>
          <w:p>
            <w:pPr>
              <w:pStyle w:val="Compact"/>
              <w:jc w:val="left"/>
            </w:pPr>
            <w:r>
              <w:t xml:space="preserve">+3.05% (4.9)</w:t>
            </w:r>
          </w:p>
        </w:tc>
        <w:tc>
          <w:tcPr/>
          <w:p>
            <w:pPr>
              <w:pStyle w:val="Compact"/>
              <w:jc w:val="left"/>
            </w:pPr>
            <w:r>
              <w:t xml:space="preserve">+3.06% (5.4)</w:t>
            </w:r>
          </w:p>
        </w:tc>
        <w:tc>
          <w:tcPr/>
          <w:p>
            <w:pPr>
              <w:pStyle w:val="Compact"/>
              <w:jc w:val="left"/>
            </w:pPr>
            <w:r>
              <w:t xml:space="preserve">−0.25% (−0.4)</w:t>
            </w:r>
          </w:p>
        </w:tc>
        <w:tc>
          <w:tcPr/>
          <w:p>
            <w:pPr>
              <w:pStyle w:val="Compact"/>
              <w:jc w:val="left"/>
            </w:pPr>
            <w:r>
              <w:t xml:space="preserve">−2.25% (−4.0)</w:t>
            </w:r>
          </w:p>
        </w:tc>
      </w:tr>
      <w:tr>
        <w:tc>
          <w:tcPr/>
          <w:p>
            <w:pPr>
              <w:pStyle w:val="Compact"/>
              <w:jc w:val="left"/>
            </w:pPr>
            <w:r>
              <w:t xml:space="preserve">1.5</w:t>
            </w:r>
          </w:p>
        </w:tc>
        <w:tc>
          <w:tcPr/>
          <w:p>
            <w:pPr>
              <w:pStyle w:val="Compact"/>
              <w:jc w:val="left"/>
            </w:pPr>
            <w:r>
              <w:t xml:space="preserve">+0.28% (0.4)</w:t>
            </w:r>
          </w:p>
        </w:tc>
        <w:tc>
          <w:tcPr/>
          <w:p>
            <w:pPr>
              <w:pStyle w:val="Compact"/>
              <w:jc w:val="left"/>
            </w:pPr>
            <w:r>
              <w:t xml:space="preserve">+2.22% (3.4)</w:t>
            </w:r>
          </w:p>
        </w:tc>
        <w:tc>
          <w:tcPr/>
          <w:p>
            <w:pPr>
              <w:pStyle w:val="Compact"/>
              <w:jc w:val="left"/>
            </w:pPr>
            <w:r>
              <w:t xml:space="preserve">+1.49% (2.4)</w:t>
            </w:r>
          </w:p>
        </w:tc>
        <w:tc>
          <w:tcPr/>
          <w:p>
            <w:pPr>
              <w:pStyle w:val="Compact"/>
              <w:jc w:val="left"/>
            </w:pPr>
            <w:r>
              <w:t xml:space="preserve">−0.52% (−0.9)</w:t>
            </w:r>
          </w:p>
        </w:tc>
        <w:tc>
          <w:tcPr/>
          <w:p>
            <w:pPr>
              <w:pStyle w:val="Compact"/>
              <w:jc w:val="left"/>
            </w:pPr>
            <w:r>
              <w:t xml:space="preserve">−4.76% (−7.2)</w:t>
            </w:r>
          </w:p>
        </w:tc>
        <w:tc>
          <w:tcPr/>
          <w:p>
            <w:pPr>
              <w:pStyle w:val="Compact"/>
              <w:jc w:val="left"/>
            </w:pPr>
            <w:r>
              <w:t xml:space="preserve">−6.88% (−11.2)</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92916"/>
                  <wp:effectExtent b="0" l="0" r="0" t="0"/>
                  <wp:docPr descr="" title="" id="33" name="Picture"/>
                  <a:graphic>
                    <a:graphicData uri="http://schemas.openxmlformats.org/drawingml/2006/picture">
                      <pic:pic>
                        <pic:nvPicPr>
                          <pic:cNvPr descr="file:///E:/tmp/claude/E--Projects-Submitted-MobileAd-Comverse/464e82cd-870f-4dc1-b795-92348cf1a9b8/scratchpad/figs/fig2.png" id="34" name="Picture"/>
                          <pic:cNvPicPr>
                            <a:picLocks noChangeArrowheads="1" noChangeAspect="1"/>
                          </pic:cNvPicPr>
                        </pic:nvPicPr>
                        <pic:blipFill>
                          <a:blip r:embed="rId32"/>
                          <a:stretch>
                            <a:fillRect/>
                          </a:stretch>
                        </pic:blipFill>
                        <pic:spPr bwMode="auto">
                          <a:xfrm>
                            <a:off x="0" y="0"/>
                            <a:ext cx="5334000" cy="2592916"/>
                          </a:xfrm>
                          <a:prstGeom prst="rect">
                            <a:avLst/>
                          </a:prstGeom>
                          <a:noFill/>
                          <a:ln w="9525">
                            <a:noFill/>
                            <a:headEnd/>
                            <a:tailEnd/>
                          </a:ln>
                        </pic:spPr>
                      </pic:pic>
                    </a:graphicData>
                  </a:graphic>
                </wp:inline>
              </w:drawing>
            </w:r>
          </w:p>
        </w:tc>
      </w:tr>
    </w:tbl>
    <w:p>
      <w:pPr>
        <w:pStyle w:val="ImageCaption"/>
      </w:pPr>
      <w:r>
        <w:t xml:space="preserve">Figure 2.</w:t>
      </w:r>
      <w:r>
        <w:t xml:space="preserve"> </w:t>
      </w:r>
      <w:r>
        <w:t xml:space="preserve">The regime map as a deployment chart. Each curve is one policy’s lift over greedy serving (walk-forward mean, Taobao top-100, pre-committed 8-tier segmentation) as quotas are scaled above deliverable supply. Of the four policies plotted, the re-solved plan is the only one that stays above greedy across the whole contention range; every online price-learning method crosses into the shaded loss region, in order of update aggressiveness (scalar first, then Euclidean, then entropic mirror descent). The static plan and the fixed optimal dual, omitted to keep the chart legible, also stay non-negative under the click objective (Section 6 table). An operator reads the horizontal axis from the pre-deployment contention ratio of Algorithm 1, step 6, and the chart says when planning is worth the effort and which pacing to trust.</w:t>
      </w:r>
    </w:p>
    <w:p>
      <w:pPr>
        <w:pStyle w:val="BodyText"/>
      </w:pPr>
      <w:r>
        <w:t xml:space="preserve">The dual-price baselines are given every advantage: their step size is tuned on held-out planning-window traffic, the warm variant is initialized from the plan LP’s own quota shadow prices, and, so the comparison is not rigged by an unreachable target,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so the comparison is not against a straw controller; the earlier scalar quota-error controller is retained as a practical baseline.</w:t>
      </w:r>
    </w:p>
    <w:p>
      <w:pPr>
        <w:pStyle w:val="BodyText"/>
      </w:pPr>
      <w:r>
        <w:t xml:space="preserve">At exact feasibility all seven policies cluster within a point; most of the value is the forecast itself, which each consumes. Under contention they separate, and the separation is a spectrum set by how the prices are obtained (Figure 2).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policies that obtain prices by solving rather than learning them online, the static plan, the re-solved plan, and the fixed optimal dual, are the ones that stay non-negative across the range; the re-solved plan holds the largest margin under contention (+2.2% to +4.3%), while the static plan’s edge narrows to within noise at the heaviest over-subscription (+0.28% at 150%). The semi-synthetic benchmark of Section 4.1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each carefully scoped. First, the failure under heavy over-subscription is shared by every adaptive dual-price method we test, modern mirror descent included, not an artifact of a weak controller;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is the more fragile of the two: the revenue objective below will show the one-shot optimal dual is not universally robust, since a price vector solved once against the fluid plan can misprice campaigns when the realized arrival order departs from it. The claim that survives every objective and every dataset we test is therefore narrower and sharper than “fixed prices work”: prices should be</w:t>
      </w:r>
      <w:r>
        <w:t xml:space="preserve"> </w:t>
      </w:r>
      <w:r>
        <w:rPr>
          <w:i/>
          <w:iCs/>
        </w:rPr>
        <w:t xml:space="preserve">obtained by solving</w:t>
      </w:r>
      <w:r>
        <w:t xml:space="preserve">, and re-solving on the pacing cadence is the only price source that is positive in every regime, objective, and market we measure.</w:t>
      </w:r>
    </w:p>
    <w:p>
      <w:pPr>
        <w:pStyle w:val="BodyText"/>
      </w:pPr>
      <w:r>
        <w:t xml:space="preserve">The deployment rule follows: the LP’s prices are what matter, so obtain them by solving, and recompute them on the pacing cadence (re-solve). Holding a one-shot LP optimum (the fixed dual) suffices under the click objective but is not universally robust, as the revenue results below show; online price learning is competitive only while contention is mild, and no adaptive variant we test survives heavy over-subscription. Re-solving is the single price source positive in every regime we measure.</w:t>
      </w:r>
    </w:p>
    <w:p>
      <w:pPr>
        <w:pStyle w:val="BodyText"/>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itself a</w:t>
      </w:r>
      <w:r>
        <w:t xml:space="preserve"> </w:t>
      </w:r>
      <w:r>
        <w:rPr>
          <w:i/>
          <w:iCs/>
        </w:rPr>
        <w:t xml:space="preserve">measurable</w:t>
      </w:r>
      <w:r>
        <w:t xml:space="preserve"> </w:t>
      </w:r>
      <w:r>
        <w:t xml:space="preserve">quantity, not a post-hoc excuse: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over-subscribed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35"/>
    <w:bookmarkStart w:id="39" w:name="simulation-as-calibration"/>
    <w:p>
      <w:pPr>
        <w:pStyle w:val="Heading2"/>
      </w:pPr>
      <w:r>
        <w:t xml:space="preserve">7</w:t>
      </w:r>
      <w:r>
        <w:t xml:space="preserve">Simulation as calibration</w:t>
      </w:r>
    </w:p>
    <w:p>
      <w:pPr>
        <w:pStyle w:val="FirstParagraph"/>
      </w:pPr>
      <w:r>
        <w:t xml:space="preserve">Before any real log is replayed, a fully synthetic market calibrates the harness where ground truth is known. The four-subscriber example of Section 2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3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 (20 replications)</w:t>
            </w:r>
          </w:p>
        </w:tc>
        <w:tc>
          <w:tcPr/>
          <w:p>
            <w:pPr>
              <w:pStyle w:val="Compact"/>
              <w:jc w:val="left"/>
            </w:pPr>
            <w:r>
              <w:t xml:space="preserve">Mean</w:t>
            </w:r>
          </w:p>
        </w:tc>
        <w:tc>
          <w:tcPr/>
          <w:p>
            <w:pPr>
              <w:pStyle w:val="Compact"/>
              <w:jc w:val="left"/>
            </w:pPr>
            <w:r>
              <w:t xml:space="preserve">Range</w:t>
            </w:r>
          </w:p>
        </w:tc>
      </w:tr>
      <w:tr>
        <w:tc>
          <w:tcPr/>
          <w:p>
            <w:pPr>
              <w:pStyle w:val="Compact"/>
              <w:jc w:val="left"/>
            </w:pPr>
            <w:r>
              <w:t xml:space="preserve">Revenue lift, planned over greedy</w:t>
            </w:r>
          </w:p>
        </w:tc>
        <w:tc>
          <w:tcPr/>
          <w:p>
            <w:pPr>
              <w:pStyle w:val="Compact"/>
              <w:jc w:val="left"/>
            </w:pPr>
            <w:r>
              <w:t xml:space="preserve">+6.5%</w:t>
            </w:r>
          </w:p>
        </w:tc>
        <w:tc>
          <w:tcPr/>
          <w:p>
            <w:pPr>
              <w:pStyle w:val="Compact"/>
              <w:jc w:val="left"/>
            </w:pPr>
            <w:r>
              <w:t xml:space="preserve">+4.1% to +8.8%</w:t>
            </w:r>
          </w:p>
        </w:tc>
      </w:tr>
      <w:tr>
        <w:tc>
          <w:tcPr/>
          <w:p>
            <w:pPr>
              <w:pStyle w:val="Compact"/>
              <w:jc w:val="left"/>
            </w:pPr>
            <w:r>
              <w:t xml:space="preserve">Expected-click lift, planned over greedy</w:t>
            </w:r>
          </w:p>
        </w:tc>
        <w:tc>
          <w:tcPr/>
          <w:p>
            <w:pPr>
              <w:pStyle w:val="Compact"/>
              <w:jc w:val="left"/>
            </w:pPr>
            <w:r>
              <w:t xml:space="preserve">+33.0%</w:t>
            </w:r>
          </w:p>
        </w:tc>
        <w:tc>
          <w:tcPr/>
          <w:p>
            <w:pPr>
              <w:pStyle w:val="Compact"/>
              <w:jc w:val="left"/>
            </w:pPr>
            <w:r>
              <w:t xml:space="preserve">+22.9% to +40.6%</w:t>
            </w:r>
          </w:p>
        </w:tc>
      </w:tr>
      <w:tr>
        <w:tc>
          <w:tcPr/>
          <w:p>
            <w:pPr>
              <w:pStyle w:val="Compact"/>
              <w:jc w:val="left"/>
            </w:pPr>
            <w:r>
              <w:t xml:space="preserve">Planned revenue as share of hindsight bound</w:t>
            </w:r>
          </w:p>
        </w:tc>
        <w:tc>
          <w:tcPr/>
          <w:p>
            <w:pPr>
              <w:pStyle w:val="Compact"/>
              <w:jc w:val="left"/>
            </w:pPr>
            <w:r>
              <w:t xml:space="preserve">93.8%</w:t>
            </w:r>
          </w:p>
        </w:tc>
        <w:tc>
          <w:tcPr/>
          <w:p>
            <w:pPr>
              <w:pStyle w:val="Compact"/>
              <w:jc w:val="left"/>
            </w:pPr>
            <w:r>
              <w:t xml:space="preserve">≥ 91.7%</w:t>
            </w:r>
          </w:p>
        </w:tc>
      </w:tr>
      <w:tr>
        <w:tc>
          <w:tcPr/>
          <w:p>
            <w:pPr>
              <w:pStyle w:val="Compact"/>
              <w:jc w:val="left"/>
            </w:pPr>
            <w:r>
              <w:t xml:space="preserve">Greedy revenue as share of hindsight bound</w:t>
            </w:r>
          </w:p>
        </w:tc>
        <w:tc>
          <w:tcPr/>
          <w:p>
            <w:pPr>
              <w:pStyle w:val="Compact"/>
              <w:jc w:val="left"/>
            </w:pPr>
            <w:r>
              <w:t xml:space="preserve">88.1%</w:t>
            </w:r>
          </w:p>
        </w:tc>
        <w:tc>
          <w:tcPr/>
          <w:p>
            <w:pPr>
              <w:pStyle w:val="Compact"/>
              <w:jc w:val="left"/>
            </w:pPr>
            <w:r>
              <w:t xml:space="preserve">≥ 85.4%</w:t>
            </w:r>
          </w:p>
        </w:tc>
      </w:tr>
      <w:tr>
        <w:tc>
          <w:tcPr/>
          <w:p>
            <w:pPr>
              <w:pStyle w:val="Compact"/>
              <w:jc w:val="left"/>
            </w:pPr>
            <w:r>
              <w:t xml:space="preserve">Quota fill, both policies</w:t>
            </w:r>
          </w:p>
        </w:tc>
        <w:tc>
          <w:tcPr/>
          <w:p>
            <w:pPr>
              <w:pStyle w:val="Compact"/>
              <w:jc w:val="left"/>
            </w:pPr>
            <w:r>
              <w:t xml:space="preserve">100%</w:t>
            </w:r>
          </w:p>
        </w:tc>
        <w:tc>
          <w:tcPr/>
          <w:p>
            <w:pPr>
              <w:pStyle w:val="Compact"/>
              <w:jc w:val="left"/>
            </w:pPr>
            <w:r>
              <w:t xml:space="preserve">all replications</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370666"/>
                  <wp:effectExtent b="0" l="0" r="0" t="0"/>
                  <wp:docPr descr="" title="" id="37" name="Picture"/>
                  <a:graphic>
                    <a:graphicData uri="http://schemas.openxmlformats.org/drawingml/2006/picture">
                      <pic:pic>
                        <pic:nvPicPr>
                          <pic:cNvPr descr="file:///E:/tmp/claude/E--Projects-Submitted-MobileAd-Comverse/464e82cd-870f-4dc1-b795-92348cf1a9b8/scratchpad/figs/fig3.png" id="38" name="Picture"/>
                          <pic:cNvPicPr>
                            <a:picLocks noChangeArrowheads="1" noChangeAspect="1"/>
                          </pic:cNvPicPr>
                        </pic:nvPicPr>
                        <pic:blipFill>
                          <a:blip r:embed="rId36"/>
                          <a:stretch>
                            <a:fillRect/>
                          </a:stretch>
                        </pic:blipFill>
                        <pic:spPr bwMode="auto">
                          <a:xfrm>
                            <a:off x="0" y="0"/>
                            <a:ext cx="5334000" cy="2370666"/>
                          </a:xfrm>
                          <a:prstGeom prst="rect">
                            <a:avLst/>
                          </a:prstGeom>
                          <a:noFill/>
                          <a:ln w="9525">
                            <a:noFill/>
                            <a:headEnd/>
                            <a:tailEnd/>
                          </a:ln>
                        </pic:spPr>
                      </pic:pic>
                    </a:graphicData>
                  </a:graphic>
                </wp:inline>
              </w:drawing>
            </w:r>
          </w:p>
        </w:tc>
      </w:tr>
    </w:tbl>
    <w:p>
      <w:pPr>
        <w:pStyle w:val="ImageCaption"/>
      </w:pPr>
      <w:r>
        <w:t xml:space="preserve">Figure 3.</w:t>
      </w:r>
      <w:r>
        <w:t xml:space="preserve"> </w:t>
      </w:r>
      <w:r>
        <w:t xml:space="preserve">Revenue captured by each policy as a share of the hindsight offline optimum, per replication. Planned allocation dominates greedy serving in all 20 replications; the two distributions do not overlap (planned minimum 91.7%, greedy maximum 91.6%).</w:t>
      </w:r>
    </w:p>
    <w:p>
      <w:pPr>
        <w:pStyle w:val="BodyText"/>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Section 8.2’s pacing mechanism and the refinement loop exist to absorb.</w:t>
      </w:r>
    </w:p>
    <w:bookmarkEnd w:id="39"/>
    <w:bookmarkStart w:id="58" w:name="a-reference-serving-architecture"/>
    <w:p>
      <w:pPr>
        <w:pStyle w:val="Heading2"/>
      </w:pPr>
      <w:r>
        <w:t xml:space="preserve">8</w:t>
      </w:r>
      <w:r>
        <w:t xml:space="preserve">A reference serving architecture</w:t>
      </w:r>
    </w:p>
    <w:p>
      <w:pPr>
        <w:pStyle w:val="FirstParagraph"/>
      </w:pPr>
      <w:r>
        <w:t xml:space="preserve">This section describes the deployment design that motivated the study: an operator-grade two-stage architecture that compiles the allocation plan into constant-time lookup serving. It is a design sketch: the experiments of Sections 4–6 validate the allocation core (plan versus serving policy at segment granularity), not the per-subscriber machinery described here.</w:t>
      </w:r>
    </w:p>
    <w:p>
      <w:pPr>
        <w:pStyle w:val="BodyText"/>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Web ad network</w:t>
            </w:r>
          </w:p>
        </w:tc>
        <w:tc>
          <w:tcPr/>
          <w:p>
            <w:pPr>
              <w:pStyle w:val="Compact"/>
              <w:jc w:val="left"/>
            </w:pPr>
            <w:r>
              <w:t xml:space="preserve">Network operator</w:t>
            </w:r>
          </w:p>
        </w:tc>
      </w:tr>
      <w:tr>
        <w:tc>
          <w:tcPr/>
          <w:p>
            <w:pPr>
              <w:pStyle w:val="Compact"/>
              <w:jc w:val="left"/>
            </w:pPr>
            <w:r>
              <w:t xml:space="preserve">Identity</w:t>
            </w:r>
          </w:p>
        </w:tc>
        <w:tc>
          <w:tcPr/>
          <w:p>
            <w:pPr>
              <w:pStyle w:val="Compact"/>
              <w:jc w:val="left"/>
            </w:pPr>
            <w:r>
              <w:t xml:space="preserve">Cookie or device fingerprint; resettable, unverified</w:t>
            </w:r>
          </w:p>
        </w:tc>
        <w:tc>
          <w:tcPr/>
          <w:p>
            <w:pPr>
              <w:pStyle w:val="Compact"/>
              <w:jc w:val="left"/>
            </w:pPr>
            <w:r>
              <w:t xml:space="preserve">Subscriber account; stable, verified, one per person</w:t>
            </w:r>
          </w:p>
        </w:tc>
      </w:tr>
      <w:tr>
        <w:tc>
          <w:tcPr/>
          <w:p>
            <w:pPr>
              <w:pStyle w:val="Compact"/>
              <w:jc w:val="left"/>
            </w:pPr>
            <w:r>
              <w:t xml:space="preserve">Demographics</w:t>
            </w:r>
          </w:p>
        </w:tc>
        <w:tc>
          <w:tcPr/>
          <w:p>
            <w:pPr>
              <w:pStyle w:val="Compact"/>
              <w:jc w:val="left"/>
            </w:pPr>
            <w:r>
              <w:t xml:space="preserve">Inferred from behavior</w:t>
            </w:r>
          </w:p>
        </w:tc>
        <w:tc>
          <w:tcPr/>
          <w:p>
            <w:pPr>
              <w:pStyle w:val="Compact"/>
              <w:jc w:val="left"/>
            </w:pPr>
            <w:r>
              <w:t xml:space="preserve">Declared at subscription: age, gender, address</w:t>
            </w:r>
          </w:p>
        </w:tc>
      </w:tr>
      <w:tr>
        <w:tc>
          <w:tcPr/>
          <w:p>
            <w:pPr>
              <w:pStyle w:val="Compact"/>
              <w:jc w:val="left"/>
            </w:pPr>
            <w:r>
              <w:t xml:space="preserve">Financial signal</w:t>
            </w:r>
          </w:p>
        </w:tc>
        <w:tc>
          <w:tcPr/>
          <w:p>
            <w:pPr>
              <w:pStyle w:val="Compact"/>
              <w:jc w:val="left"/>
            </w:pPr>
            <w:r>
              <w:t xml:space="preserve">None or modeled</w:t>
            </w:r>
          </w:p>
        </w:tc>
        <w:tc>
          <w:tcPr/>
          <w:p>
            <w:pPr>
              <w:pStyle w:val="Compact"/>
              <w:jc w:val="left"/>
            </w:pPr>
            <w:r>
              <w:t xml:space="preserve">Plan, spend level, content purchase history</w:t>
            </w:r>
          </w:p>
        </w:tc>
      </w:tr>
      <w:tr>
        <w:tc>
          <w:tcPr/>
          <w:p>
            <w:pPr>
              <w:pStyle w:val="Compact"/>
              <w:jc w:val="left"/>
            </w:pPr>
            <w:r>
              <w:t xml:space="preserve">Location</w:t>
            </w:r>
          </w:p>
        </w:tc>
        <w:tc>
          <w:tcPr/>
          <w:p>
            <w:pPr>
              <w:pStyle w:val="Compact"/>
              <w:jc w:val="left"/>
            </w:pPr>
            <w:r>
              <w:t xml:space="preserve">Coarse, via IP</w:t>
            </w:r>
          </w:p>
        </w:tc>
        <w:tc>
          <w:tcPr/>
          <w:p>
            <w:pPr>
              <w:pStyle w:val="Compact"/>
              <w:jc w:val="left"/>
            </w:pPr>
            <w:r>
              <w:t xml:space="preserve">Network-observed, continuous</w:t>
            </w:r>
          </w:p>
        </w:tc>
      </w:tr>
      <w:tr>
        <w:tc>
          <w:tcPr/>
          <w:p>
            <w:pPr>
              <w:pStyle w:val="Compact"/>
              <w:jc w:val="left"/>
            </w:pPr>
            <w:r>
              <w:t xml:space="preserve">Browsing coverage</w:t>
            </w:r>
          </w:p>
        </w:tc>
        <w:tc>
          <w:tcPr/>
          <w:p>
            <w:pPr>
              <w:pStyle w:val="Compact"/>
              <w:jc w:val="left"/>
            </w:pPr>
            <w:r>
              <w:t xml:space="preserve">Sites the network instruments</w:t>
            </w:r>
          </w:p>
        </w:tc>
        <w:tc>
          <w:tcPr/>
          <w:p>
            <w:pPr>
              <w:pStyle w:val="Compact"/>
              <w:jc w:val="left"/>
            </w:pPr>
            <w:r>
              <w:t xml:space="preserve">All traffic through the gateway</w:t>
            </w:r>
          </w:p>
        </w:tc>
      </w:tr>
      <w:tr>
        <w:tc>
          <w:tcPr/>
          <w:p>
            <w:pPr>
              <w:pStyle w:val="Compact"/>
              <w:jc w:val="left"/>
            </w:pPr>
            <w:r>
              <w:t xml:space="preserve">Exposure control</w:t>
            </w:r>
          </w:p>
        </w:tc>
        <w:tc>
          <w:tcPr/>
          <w:p>
            <w:pPr>
              <w:pStyle w:val="Compact"/>
              <w:jc w:val="left"/>
            </w:pPr>
            <w:r>
              <w:t xml:space="preserve">Per-site frequency caps</w:t>
            </w:r>
          </w:p>
        </w:tc>
        <w:tc>
          <w:tcPr/>
          <w:p>
            <w:pPr>
              <w:pStyle w:val="Compact"/>
              <w:jc w:val="left"/>
            </w:pPr>
            <w:r>
              <w:t xml:space="preserve">Global caps across all inventory, per subscriber</w:t>
            </w:r>
          </w:p>
        </w:tc>
      </w:tr>
    </w:tbl>
    <w:p>
      <w:pPr>
        <w:pStyle w:val="BodyText"/>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5 are a handful of aggregate behavior tiers, not individual dossiers. Not every subscriber has a profile at all: prepaid subscribers may be anonymous, which is why the clustering machinery supports membership computed from response behavior alone (Section 8.1.3).</w:t>
      </w:r>
    </w:p>
    <w:bookmarkStart w:id="40" w:name="X76cd0aab14a1b3a28329e6411b338cd4e16a2d0"/>
    <w:p>
      <w:pPr>
        <w:pStyle w:val="Heading3"/>
      </w:pPr>
      <w:r>
        <w:t xml:space="preserve">8.1 The offline stage: learning the inputs to the plan</w:t>
      </w:r>
    </w:p>
    <w:p>
      <w:pPr>
        <w:pStyle w:val="FirstParagraph"/>
      </w:pP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2"/>
        </w:numPr>
      </w:pPr>
      <w:r>
        <w:t xml:space="preserve">The distribution of (context, profile) pairs observed in the past will recur in the future.</w:t>
      </w:r>
    </w:p>
    <w:p>
      <w:pPr>
        <w:pStyle w:val="Compact"/>
        <w:numPr>
          <w:ilvl w:val="0"/>
          <w:numId w:val="1002"/>
        </w:numPr>
      </w:pPr>
      <w:r>
        <w:t xml:space="preserve">Subscribers who responded similarly under similar conditions will continue to respond similarly.</w:t>
      </w:r>
    </w:p>
    <w:p>
      <w:pPr>
        <w:pStyle w:val="Compact"/>
        <w:numPr>
          <w:ilvl w:val="0"/>
          <w:numId w:val="1002"/>
        </w:numPr>
      </w:pPr>
      <w:r>
        <w:t xml:space="preserve">Subscribers who respond similarly share something observable in their profiles or histories.</w:t>
      </w:r>
    </w:p>
    <w:p>
      <w:pPr>
        <w:pStyle w:val="FirstParagraph"/>
      </w:pPr>
      <w:r>
        <w:t xml:space="preserve">Assumption 1 justifies forecasting traffic from history; assumptions 2 and 3 justify pooling sparse per-subscriber click data into clusters that have enough volume to estimate probabilities reliably.</w:t>
      </w:r>
    </w:p>
    <w:bookmarkEnd w:id="40"/>
    <w:bookmarkStart w:id="41" w:name="response-records"/>
    <w:p>
      <w:pPr>
        <w:pStyle w:val="Heading3"/>
      </w:pPr>
      <w:r>
        <w:t xml:space="preserve">8.1.1 Response records</w:t>
      </w:r>
    </w:p>
    <w:p>
      <w:pPr>
        <w:pStyle w:val="FirstParagraph"/>
      </w:pPr>
      <w:r>
        <w:t xml:space="preserve">The atomic unit of evidence is an ad response record: who saw what, in what context, and whether they clicked.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Content category</w:t>
            </w:r>
          </w:p>
        </w:tc>
        <w:tc>
          <w:tcPr/>
          <w:p>
            <w:pPr>
              <w:pStyle w:val="Compact"/>
              <w:jc w:val="left"/>
            </w:pPr>
            <w:r>
              <w:t xml:space="preserve">Campaign</w:t>
            </w:r>
          </w:p>
        </w:tc>
        <w:tc>
          <w:tcPr/>
          <w:p>
            <w:pPr>
              <w:pStyle w:val="Compact"/>
              <w:jc w:val="left"/>
            </w:pPr>
            <w:r>
              <w:t xml:space="preserve">Click</w:t>
            </w:r>
          </w:p>
        </w:tc>
      </w:tr>
      <w:tr>
        <w:tc>
          <w:tcPr/>
          <w:p>
            <w:pPr>
              <w:pStyle w:val="Compact"/>
              <w:jc w:val="left"/>
            </w:pPr>
            <w:r>
              <w:t xml:space="preserve">11:23</w:t>
            </w:r>
          </w:p>
        </w:tc>
        <w:tc>
          <w:tcPr/>
          <w:p>
            <w:pPr>
              <w:pStyle w:val="Compact"/>
              <w:jc w:val="left"/>
            </w:pPr>
            <w:r>
              <w:t xml:space="preserve">Monday</w:t>
            </w:r>
          </w:p>
        </w:tc>
        <w:tc>
          <w:tcPr/>
          <w:p>
            <w:pPr>
              <w:pStyle w:val="Compact"/>
              <w:jc w:val="left"/>
            </w:pPr>
            <w:r>
              <w:t xml:space="preserve">News</w:t>
            </w:r>
          </w:p>
        </w:tc>
        <w:tc>
          <w:tcPr/>
          <w:p>
            <w:pPr>
              <w:pStyle w:val="Compact"/>
              <w:jc w:val="left"/>
            </w:pPr>
            <w:r>
              <w:t xml:space="preserve">C1 (active)</w:t>
            </w:r>
          </w:p>
        </w:tc>
        <w:tc>
          <w:tcPr/>
          <w:p>
            <w:pPr>
              <w:pStyle w:val="Compact"/>
              <w:jc w:val="left"/>
            </w:pPr>
            <w:r>
              <w:t xml:space="preserve">0</w:t>
            </w:r>
          </w:p>
        </w:tc>
      </w:tr>
      <w:tr>
        <w:tc>
          <w:tcPr/>
          <w:p>
            <w:pPr>
              <w:pStyle w:val="Compact"/>
              <w:jc w:val="left"/>
            </w:pPr>
            <w:r>
              <w:t xml:space="preserve">14:15</w:t>
            </w:r>
          </w:p>
        </w:tc>
        <w:tc>
          <w:tcPr/>
          <w:p>
            <w:pPr>
              <w:pStyle w:val="Compact"/>
              <w:jc w:val="left"/>
            </w:pPr>
            <w:r>
              <w:t xml:space="preserve">Monday</w:t>
            </w:r>
          </w:p>
        </w:tc>
        <w:tc>
          <w:tcPr/>
          <w:p>
            <w:pPr>
              <w:pStyle w:val="Compact"/>
              <w:jc w:val="left"/>
            </w:pPr>
            <w:r>
              <w:t xml:space="preserve">Sport</w:t>
            </w:r>
          </w:p>
        </w:tc>
        <w:tc>
          <w:tcPr/>
          <w:p>
            <w:pPr>
              <w:pStyle w:val="Compact"/>
              <w:jc w:val="left"/>
            </w:pPr>
            <w:r>
              <w:t xml:space="preserve">C2 (active)</w:t>
            </w:r>
          </w:p>
        </w:tc>
        <w:tc>
          <w:tcPr/>
          <w:p>
            <w:pPr>
              <w:pStyle w:val="Compact"/>
              <w:jc w:val="left"/>
            </w:pPr>
            <w:r>
              <w:t xml:space="preserve">1</w:t>
            </w:r>
          </w:p>
        </w:tc>
      </w:tr>
      <w:tr>
        <w:tc>
          <w:tcPr/>
          <w:p>
            <w:pPr>
              <w:pStyle w:val="Compact"/>
              <w:jc w:val="left"/>
            </w:pPr>
            <w:r>
              <w:t xml:space="preserve">18:14</w:t>
            </w:r>
          </w:p>
        </w:tc>
        <w:tc>
          <w:tcPr/>
          <w:p>
            <w:pPr>
              <w:pStyle w:val="Compact"/>
              <w:jc w:val="left"/>
            </w:pPr>
            <w:r>
              <w:t xml:space="preserve">Sunday</w:t>
            </w:r>
          </w:p>
        </w:tc>
        <w:tc>
          <w:tcPr/>
          <w:p>
            <w:pPr>
              <w:pStyle w:val="Compact"/>
              <w:jc w:val="left"/>
            </w:pPr>
            <w:r>
              <w:t xml:space="preserve">Sport</w:t>
            </w:r>
          </w:p>
        </w:tc>
        <w:tc>
          <w:tcPr/>
          <w:p>
            <w:pPr>
              <w:pStyle w:val="Compact"/>
              <w:jc w:val="left"/>
            </w:pPr>
            <w:r>
              <w:t xml:space="preserve">C4 (past)</w:t>
            </w:r>
          </w:p>
        </w:tc>
        <w:tc>
          <w:tcPr/>
          <w:p>
            <w:pPr>
              <w:pStyle w:val="Compact"/>
              <w:jc w:val="left"/>
            </w:pPr>
            <w:r>
              <w:t xml:space="preserve">1</w:t>
            </w:r>
          </w:p>
        </w:tc>
      </w:tr>
    </w:tbl>
    <w:p>
      <w:pPr>
        <w:pStyle w:val="BodyText"/>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bookmarkEnd w:id="41"/>
    <w:bookmarkStart w:id="42" w:name="proximity-and-clustering"/>
    <w:p>
      <w:pPr>
        <w:pStyle w:val="Heading3"/>
      </w:pPr>
      <w:r>
        <w:t xml:space="preserve">8.1.2 Proximity and clustering</w:t>
      </w:r>
    </w:p>
    <w:p>
      <w:pPr>
        <w:pStyle w:val="FirstParagraph"/>
      </w:pP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Attribute</w:t>
            </w:r>
          </w:p>
        </w:tc>
        <w:tc>
          <w:tcPr/>
          <w:p>
            <w:pPr>
              <w:pStyle w:val="Compact"/>
              <w:jc w:val="left"/>
            </w:pPr>
            <w:r>
              <w:t xml:space="preserve">Distance component</w:t>
            </w:r>
          </w:p>
        </w:tc>
      </w:tr>
      <w:tr>
        <w:tc>
          <w:tcPr/>
          <w:p>
            <w:pPr>
              <w:pStyle w:val="Compact"/>
              <w:jc w:val="left"/>
            </w:pPr>
            <w:r>
              <w:t xml:space="preserve">Age</w:t>
            </w:r>
          </w:p>
        </w:tc>
        <w:tc>
          <w:tcPr/>
          <w:p>
            <w:pPr>
              <w:pStyle w:val="Compact"/>
              <w:jc w:val="left"/>
            </w:pPr>
            <w:r>
              <w:t xml:space="preserve">Absolute difference</w:t>
            </w:r>
          </w:p>
        </w:tc>
      </w:tr>
      <w:tr>
        <w:tc>
          <w:tcPr/>
          <w:p>
            <w:pPr>
              <w:pStyle w:val="Compact"/>
              <w:jc w:val="left"/>
            </w:pPr>
            <w:r>
              <w:t xml:space="preserve">Gender</w:t>
            </w:r>
          </w:p>
        </w:tc>
        <w:tc>
          <w:tcPr/>
          <w:p>
            <w:pPr>
              <w:pStyle w:val="Compact"/>
              <w:jc w:val="left"/>
            </w:pPr>
            <w:r>
              <w:t xml:space="preserve">Fixed penalty if different</w:t>
            </w:r>
          </w:p>
        </w:tc>
      </w:tr>
      <w:tr>
        <w:tc>
          <w:tcPr/>
          <w:p>
            <w:pPr>
              <w:pStyle w:val="Compact"/>
              <w:jc w:val="left"/>
            </w:pPr>
            <w:r>
              <w:t xml:space="preserve">Campaign affinity</w:t>
            </w:r>
          </w:p>
        </w:tc>
        <w:tc>
          <w:tcPr/>
          <w:p>
            <w:pPr>
              <w:pStyle w:val="Compact"/>
              <w:jc w:val="left"/>
            </w:pPr>
            <w:r>
              <w:t xml:space="preserve">By campaign category; fixed penalty if different</w:t>
            </w:r>
          </w:p>
        </w:tc>
      </w:tr>
      <w:tr>
        <w:tc>
          <w:tcPr/>
          <w:p>
            <w:pPr>
              <w:pStyle w:val="Compact"/>
              <w:jc w:val="left"/>
            </w:pPr>
            <w:r>
              <w:t xml:space="preserve">Day of week</w:t>
            </w:r>
          </w:p>
        </w:tc>
        <w:tc>
          <w:tcPr/>
          <w:p>
            <w:pPr>
              <w:pStyle w:val="Compact"/>
              <w:jc w:val="left"/>
            </w:pPr>
            <w:r>
              <w:t xml:space="preserve">Absolute difference, circular</w:t>
            </w:r>
          </w:p>
        </w:tc>
      </w:tr>
      <w:tr>
        <w:tc>
          <w:tcPr/>
          <w:p>
            <w:pPr>
              <w:pStyle w:val="Compact"/>
              <w:jc w:val="left"/>
            </w:pPr>
            <w:r>
              <w:t xml:space="preserve">Location (x, y)</w:t>
            </w:r>
          </w:p>
        </w:tc>
        <w:tc>
          <w:tcPr/>
          <w:p>
            <w:pPr>
              <w:pStyle w:val="Compact"/>
              <w:jc w:val="left"/>
            </w:pPr>
            <w:r>
              <w:t xml:space="preserve">Straight-line distance</w:t>
            </w:r>
          </w:p>
        </w:tc>
      </w:tr>
    </w:tbl>
    <w:p>
      <w:pPr>
        <w:pStyle w:val="BodyText"/>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(Section 8.2), so predictions blend the behavior of every cluster the subscriber resembles.</w:t>
      </w:r>
    </w:p>
    <w:bookmarkEnd w:id="42"/>
    <w:bookmarkStart w:id="43" w:name="Xcf0c62df256e2cee415416a2e095f7c938d4365"/>
    <w:p>
      <w:pPr>
        <w:pStyle w:val="Heading3"/>
      </w:pPr>
      <w:r>
        <w:t xml:space="preserve">8.1.3 Cluster representation and click estimation</w:t>
      </w:r>
    </w:p>
    <w:p>
      <w:pPr>
        <w:pStyle w:val="FirstParagraph"/>
      </w:pP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 slot</w:t>
            </w:r>
          </w:p>
        </w:tc>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Category</w:t>
            </w:r>
          </w:p>
        </w:tc>
        <w:tc>
          <w:tcPr/>
          <w:p>
            <w:pPr>
              <w:pStyle w:val="Compact"/>
              <w:jc w:val="left"/>
            </w:pPr>
            <w:r>
              <w:t xml:space="preserve">Predicted hits</w:t>
            </w:r>
          </w:p>
        </w:tc>
      </w:tr>
      <w:tr>
        <w:tc>
          <w:tcPr/>
          <w:p>
            <w:pPr>
              <w:pStyle w:val="Compact"/>
              <w:jc w:val="left"/>
            </w:pPr>
            <w:r>
              <w:t xml:space="preserve">CS1</w:t>
            </w:r>
          </w:p>
        </w:tc>
        <w:tc>
          <w:tcPr/>
          <w:p>
            <w:pPr>
              <w:pStyle w:val="Compact"/>
              <w:jc w:val="left"/>
            </w:pPr>
            <w:r>
              <w:t xml:space="preserve">10:00–12:00</w:t>
            </w:r>
          </w:p>
        </w:tc>
        <w:tc>
          <w:tcPr/>
          <w:p>
            <w:pPr>
              <w:pStyle w:val="Compact"/>
              <w:jc w:val="left"/>
            </w:pPr>
            <w:r>
              <w:t xml:space="preserve">Mon–Tue</w:t>
            </w:r>
          </w:p>
        </w:tc>
        <w:tc>
          <w:tcPr/>
          <w:p>
            <w:pPr>
              <w:pStyle w:val="Compact"/>
              <w:jc w:val="left"/>
            </w:pPr>
            <w:r>
              <w:t xml:space="preserve">News, Sport</w:t>
            </w:r>
          </w:p>
        </w:tc>
        <w:tc>
          <w:tcPr/>
          <w:p>
            <w:pPr>
              <w:pStyle w:val="Compact"/>
              <w:jc w:val="left"/>
            </w:pPr>
            <w:r>
              <w:t xml:space="preserve">3,000</w:t>
            </w:r>
          </w:p>
        </w:tc>
      </w:tr>
      <w:tr>
        <w:tc>
          <w:tcPr/>
          <w:p>
            <w:pPr>
              <w:pStyle w:val="Compact"/>
              <w:jc w:val="left"/>
            </w:pPr>
            <w:r>
              <w:t xml:space="preserve">CS2</w:t>
            </w:r>
          </w:p>
        </w:tc>
        <w:tc>
          <w:tcPr/>
          <w:p>
            <w:pPr>
              <w:pStyle w:val="Compact"/>
              <w:jc w:val="left"/>
            </w:pPr>
            <w:r>
              <w:t xml:space="preserve">11:00–17:00</w:t>
            </w:r>
          </w:p>
        </w:tc>
        <w:tc>
          <w:tcPr/>
          <w:p>
            <w:pPr>
              <w:pStyle w:val="Compact"/>
              <w:jc w:val="left"/>
            </w:pPr>
            <w:r>
              <w:t xml:space="preserve">Sun</w:t>
            </w:r>
          </w:p>
        </w:tc>
        <w:tc>
          <w:tcPr/>
          <w:p>
            <w:pPr>
              <w:pStyle w:val="Compact"/>
              <w:jc w:val="left"/>
            </w:pPr>
            <w:r>
              <w:t xml:space="preserve">Sport</w:t>
            </w:r>
          </w:p>
        </w:tc>
        <w:tc>
          <w:tcPr/>
          <w:p>
            <w:pPr>
              <w:pStyle w:val="Compact"/>
              <w:jc w:val="left"/>
            </w:pPr>
            <w:r>
              <w:t xml:space="preserve">4,000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Campaign</w:t>
            </w:r>
          </w:p>
        </w:tc>
        <w:tc>
          <w:tcPr/>
          <w:p>
            <w:pPr>
              <w:pStyle w:val="Compact"/>
              <w:jc w:val="left"/>
            </w:pPr>
            <w:r>
              <w:t xml:space="preserve">Context slot</w:t>
            </w:r>
          </w:p>
        </w:tc>
        <w:tc>
          <w:tcPr/>
          <w:p>
            <w:pPr>
              <w:pStyle w:val="Compact"/>
              <w:jc w:val="left"/>
            </w:pPr>
            <w:r>
              <w:t xml:space="preserve">Impressions</w:t>
            </w:r>
          </w:p>
        </w:tc>
        <w:tc>
          <w:tcPr/>
          <w:p>
            <w:pPr>
              <w:pStyle w:val="Compact"/>
              <w:jc w:val="left"/>
            </w:pPr>
            <w:r>
              <w:t xml:space="preserve">Clicks</w:t>
            </w:r>
          </w:p>
        </w:tc>
      </w:tr>
      <w:tr>
        <w:tc>
          <w:tcPr/>
          <w:p>
            <w:pPr>
              <w:pStyle w:val="Compact"/>
              <w:jc w:val="left"/>
            </w:pPr>
            <w:r>
              <w:t xml:space="preserve">C1</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3</w:t>
            </w:r>
          </w:p>
        </w:tc>
      </w:tr>
      <w:tr>
        <w:tc>
          <w:tcPr/>
          <w:p>
            <w:pPr>
              <w:pStyle w:val="Compact"/>
              <w:jc w:val="left"/>
            </w:pPr>
            <w:r>
              <w:t xml:space="preserve">C1</w:t>
            </w:r>
          </w:p>
        </w:tc>
        <w:tc>
          <w:tcPr/>
          <w:p>
            <w:pPr>
              <w:pStyle w:val="Compact"/>
              <w:jc w:val="left"/>
            </w:pPr>
            <w:r>
              <w:t xml:space="preserve">CS2</w:t>
            </w:r>
          </w:p>
        </w:tc>
        <w:tc>
          <w:tcPr/>
          <w:p>
            <w:pPr>
              <w:pStyle w:val="Compact"/>
              <w:jc w:val="left"/>
            </w:pPr>
            <w:r>
              <w:t xml:space="preserve">2,000</w:t>
            </w:r>
          </w:p>
        </w:tc>
        <w:tc>
          <w:tcPr/>
          <w:p>
            <w:pPr>
              <w:pStyle w:val="Compact"/>
              <w:jc w:val="left"/>
            </w:pPr>
            <w:r>
              <w:t xml:space="preserve">2</w:t>
            </w:r>
          </w:p>
        </w:tc>
      </w:tr>
      <w:tr>
        <w:tc>
          <w:tcPr/>
          <w:p>
            <w:pPr>
              <w:pStyle w:val="Compact"/>
              <w:jc w:val="left"/>
            </w:pPr>
            <w:r>
              <w:t xml:space="preserve">C2</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7</w:t>
            </w:r>
          </w:p>
        </w:tc>
      </w:tr>
    </w:tbl>
    <w:p>
      <w:pPr>
        <w:pStyle w:val="BodyText"/>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bookmarkEnd w:id="43"/>
    <w:bookmarkStart w:id="44" w:name="compiling-the-plan-into-lookup-tables"/>
    <w:p>
      <w:pPr>
        <w:pStyle w:val="Heading3"/>
      </w:pPr>
      <w:r>
        <w:t xml:space="preserve">8.1.4 Compiling the plan into lookup tables</w:t>
      </w:r>
    </w:p>
    <w:p>
      <w:pPr>
        <w:pStyle w:val="FirstParagraph"/>
      </w:pP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Keyed by</w:t>
            </w:r>
          </w:p>
        </w:tc>
        <w:tc>
          <w:tcPr/>
          <w:p>
            <w:pPr>
              <w:pStyle w:val="Compact"/>
              <w:jc w:val="left"/>
            </w:pPr>
            <w:r>
              <w:t xml:space="preserve">Contents</w:t>
            </w:r>
          </w:p>
        </w:tc>
      </w:tr>
      <w:tr>
        <w:tc>
          <w:tcPr/>
          <w:p>
            <w:pPr>
              <w:pStyle w:val="Compact"/>
              <w:jc w:val="left"/>
            </w:pPr>
            <w:r>
              <w:rPr>
                <w:b/>
                <w:bCs/>
              </w:rPr>
              <w:t xml:space="preserve">Model table</w:t>
            </w:r>
          </w:p>
        </w:tc>
        <w:tc>
          <w:tcPr/>
          <w:p>
            <w:pPr>
              <w:pStyle w:val="Compact"/>
              <w:jc w:val="left"/>
            </w:pPr>
            <w:r>
              <w:t xml:space="preserve">cluster × campaign</w:t>
            </w:r>
          </w:p>
        </w:tc>
        <w:tc>
          <w:tcPr/>
          <w:p>
            <w:pPr>
              <w:pStyle w:val="Compact"/>
              <w:jc w:val="left"/>
            </w:pPr>
            <w:r>
              <w:t xml:space="preserve">Targeted time slots and content categories as bit masks; planned impressions; expected clicks</w:t>
            </w:r>
          </w:p>
        </w:tc>
      </w:tr>
      <w:tr>
        <w:tc>
          <w:tcPr/>
          <w:p>
            <w:pPr>
              <w:pStyle w:val="Compact"/>
              <w:jc w:val="left"/>
            </w:pPr>
            <w:r>
              <w:rPr>
                <w:b/>
                <w:bCs/>
              </w:rPr>
              <w:t xml:space="preserve">Match table</w:t>
            </w:r>
          </w:p>
        </w:tc>
        <w:tc>
          <w:tcPr/>
          <w:p>
            <w:pPr>
              <w:pStyle w:val="Compact"/>
              <w:jc w:val="left"/>
            </w:pPr>
            <w:r>
              <w:t xml:space="preserve">subscriber</w:t>
            </w:r>
          </w:p>
        </w:tc>
        <w:tc>
          <w:tcPr/>
          <w:p>
            <w:pPr>
              <w:pStyle w:val="Compact"/>
              <w:jc w:val="left"/>
            </w:pPr>
            <w:r>
              <w:t xml:space="preserve">Campaigns this subscriber is eligible for under targeting rules</w:t>
            </w:r>
          </w:p>
        </w:tc>
      </w:tr>
      <w:tr>
        <w:tc>
          <w:tcPr/>
          <w:p>
            <w:pPr>
              <w:pStyle w:val="Compact"/>
              <w:jc w:val="left"/>
            </w:pPr>
            <w:r>
              <w:rPr>
                <w:b/>
                <w:bCs/>
              </w:rPr>
              <w:t xml:space="preserve">Cluster table</w:t>
            </w:r>
          </w:p>
        </w:tc>
        <w:tc>
          <w:tcPr/>
          <w:p>
            <w:pPr>
              <w:pStyle w:val="Compact"/>
              <w:jc w:val="left"/>
            </w:pPr>
            <w:r>
              <w:t xml:space="preserve">subscriber</w:t>
            </w:r>
          </w:p>
        </w:tc>
        <w:tc>
          <w:tcPr/>
          <w:p>
            <w:pPr>
              <w:pStyle w:val="Compact"/>
              <w:jc w:val="left"/>
            </w:pPr>
            <w:r>
              <w:t xml:space="preserve">Distance to each nearby cluster (the soft-membership weights)</w:t>
            </w:r>
          </w:p>
        </w:tc>
      </w:tr>
    </w:tbl>
    <w:p>
      <w:pPr>
        <w:pStyle w:val="BodyText"/>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bookmarkEnd w:id="44"/>
    <w:bookmarkStart w:id="48" w:name="X6b41d0bc1b6a7aa734a67750c2b9949c703d461"/>
    <w:p>
      <w:pPr>
        <w:pStyle w:val="Heading3"/>
      </w:pPr>
      <w:r>
        <w:t xml:space="preserve">8.2 The online stage: executing the plan in real time</w:t>
      </w:r>
    </w:p>
    <w:p>
      <w:pPr>
        <w:pStyle w:val="FirstParagraph"/>
      </w:pP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1778000"/>
                  <wp:effectExtent b="0" l="0" r="0" t="0"/>
                  <wp:docPr descr="" title="" id="46" name="Picture"/>
                  <a:graphic>
                    <a:graphicData uri="http://schemas.openxmlformats.org/drawingml/2006/picture">
                      <pic:pic>
                        <pic:nvPicPr>
                          <pic:cNvPr descr="file:///E:/tmp/claude/E--Projects-Submitted-MobileAd-Comverse/464e82cd-870f-4dc1-b795-92348cf1a9b8/scratchpad/figs/fig4.png" id="47" name="Picture"/>
                          <pic:cNvPicPr>
                            <a:picLocks noChangeArrowheads="1" noChangeAspect="1"/>
                          </pic:cNvPicPr>
                        </pic:nvPicPr>
                        <pic:blipFill>
                          <a:blip r:embed="rId45"/>
                          <a:stretch>
                            <a:fillRect/>
                          </a:stretch>
                        </pic:blipFill>
                        <pic:spPr bwMode="auto">
                          <a:xfrm>
                            <a:off x="0" y="0"/>
                            <a:ext cx="5334000" cy="1778000"/>
                          </a:xfrm>
                          <a:prstGeom prst="rect">
                            <a:avLst/>
                          </a:prstGeom>
                          <a:noFill/>
                          <a:ln w="9525">
                            <a:noFill/>
                            <a:headEnd/>
                            <a:tailEnd/>
                          </a:ln>
                        </pic:spPr>
                      </pic:pic>
                    </a:graphicData>
                  </a:graphic>
                </wp:inline>
              </w:drawing>
            </w:r>
          </w:p>
        </w:tc>
      </w:tr>
    </w:tbl>
    <w:p>
      <w:pPr>
        <w:pStyle w:val="ImageCaption"/>
      </w:pPr>
      <w:r>
        <w:t xml:space="preserve">Figure 4.</w:t>
      </w:r>
      <w:r>
        <w:t xml:space="preserve"> </w:t>
      </w:r>
      <w:r>
        <w:t xml:space="preserve">The closed loop. Offline analytics compiles the model and allocation plan into lookup tables; the online engine executes them per impression and streams response records back, which the next analytics cycle uses to refine clusters, probabilities, and the plan.</w:t>
      </w:r>
    </w:p>
    <w:bookmarkEnd w:id="48"/>
    <w:bookmarkStart w:id="52" w:name="the-seven-step-decision"/>
    <w:p>
      <w:pPr>
        <w:pStyle w:val="Heading3"/>
      </w:pPr>
      <w:r>
        <w:t xml:space="preserve">8.2.1 The seven-step decision</w:t>
      </w:r>
    </w:p>
    <w:p>
      <w:pPr>
        <w:pStyle w:val="Compact"/>
        <w:numPr>
          <w:ilvl w:val="0"/>
          <w:numId w:val="1003"/>
        </w:numPr>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3"/>
        </w:numPr>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3"/>
        </w:numPr>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3"/>
        </w:numPr>
      </w:pPr>
      <w:r>
        <w:rPr>
          <w:b/>
          <w:bCs/>
        </w:rPr>
        <w:t xml:space="preserve">Predict click probability per candidate</w:t>
      </w:r>
      <w:r>
        <w:t xml:space="preserve">model table</w:t>
      </w:r>
      <w:r>
        <w:t xml:space="preserve"> </w:t>
      </w:r>
      <w:r>
        <w:t xml:space="preserve">Blend cluster-level click rates with the soft-membership weights (Section 8.2.2).</w:t>
      </w:r>
    </w:p>
    <w:p>
      <w:pPr>
        <w:pStyle w:val="Compact"/>
        <w:numPr>
          <w:ilvl w:val="0"/>
          <w:numId w:val="1003"/>
        </w:numPr>
      </w:pPr>
      <w:r>
        <w:rPr>
          <w:b/>
          <w:bCs/>
        </w:rPr>
        <w:t xml:space="preserve">Compute pacing per candidate</w:t>
      </w:r>
      <w:r>
        <w:t xml:space="preserve">status table</w:t>
      </w:r>
      <w:r>
        <w:t xml:space="preserve"> </w:t>
      </w:r>
      <w:r>
        <w:t xml:space="preserve">Compare actual delivery against plan, prorated to this point in the flight (Section 8.2.3).</w:t>
      </w:r>
    </w:p>
    <w:p>
      <w:pPr>
        <w:pStyle w:val="Compact"/>
        <w:numPr>
          <w:ilvl w:val="0"/>
          <w:numId w:val="1003"/>
        </w:numPr>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3"/>
        </w:numPr>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pPr>
      <w:r>
        <w:t xml:space="preserve">Every step is a keyed lookup, a bit-mask test, or arithmetic over a handful of rows. The expensive work (clustering, probability estimation, optimization) was all paid for offline.</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755900"/>
                  <wp:effectExtent b="0" l="0" r="0" t="0"/>
                  <wp:docPr descr="" title="" id="50" name="Picture"/>
                  <a:graphic>
                    <a:graphicData uri="http://schemas.openxmlformats.org/drawingml/2006/picture">
                      <pic:pic>
                        <pic:nvPicPr>
                          <pic:cNvPr descr="file:///E:/tmp/claude/E--Projects-Submitted-MobileAd-Comverse/464e82cd-870f-4dc1-b795-92348cf1a9b8/scratchpad/figs/fig5.png" id="51" name="Picture"/>
                          <pic:cNvPicPr>
                            <a:picLocks noChangeArrowheads="1" noChangeAspect="1"/>
                          </pic:cNvPicPr>
                        </pic:nvPicPr>
                        <pic:blipFill>
                          <a:blip r:embed="rId49"/>
                          <a:stretch>
                            <a:fillRect/>
                          </a:stretch>
                        </pic:blipFill>
                        <pic:spPr bwMode="auto">
                          <a:xfrm>
                            <a:off x="0" y="0"/>
                            <a:ext cx="5334000" cy="2755900"/>
                          </a:xfrm>
                          <a:prstGeom prst="rect">
                            <a:avLst/>
                          </a:prstGeom>
                          <a:noFill/>
                          <a:ln w="9525">
                            <a:noFill/>
                            <a:headEnd/>
                            <a:tailEnd/>
                          </a:ln>
                        </pic:spPr>
                      </pic:pic>
                    </a:graphicData>
                  </a:graphic>
                </wp:inline>
              </w:drawing>
            </w:r>
          </w:p>
        </w:tc>
      </w:tr>
    </w:tbl>
    <w:p>
      <w:pPr>
        <w:pStyle w:val="ImageCaption"/>
      </w:pPr>
      <w:r>
        <w:t xml:space="preserve">Figure 5.</w:t>
      </w:r>
      <w:r>
        <w:t xml:space="preserve"> </w:t>
      </w:r>
      <w:r>
        <w:t xml:space="preserve">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bookmarkEnd w:id="52"/>
    <w:bookmarkStart w:id="53" w:name="click-prediction-by-soft-membership"/>
    <w:p>
      <w:pPr>
        <w:pStyle w:val="Heading3"/>
      </w:pPr>
      <w:r>
        <w:t xml:space="preserve">8.2.2 Click prediction by soft membership</w:t>
      </w:r>
    </w:p>
    <w:p>
      <w:pPr>
        <w:pStyle w:val="FirstParagraph"/>
      </w:pP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SourceCode"/>
      </w:pPr>
      <w:r>
        <w:rPr>
          <w:rStyle w:val="VerbatimChar"/>
        </w:rPr>
        <w:t xml:space="preserve">p(click | C1)  =  0.2 · (40 / 8,000)  +  0.8 · (60 / 10,000)  =  0.0058</w:t>
      </w:r>
    </w:p>
    <w:p>
      <w:pPr>
        <w:pStyle w:val="FirstParagraph"/>
      </w:pPr>
      <w:r>
        <w:t xml:space="preserve">Because the subscriber borrows from every cluster they resemble, the estimate is stable even for subscribers with thin personal histories, and it is computed from two table rows and four multiplications.</w:t>
      </w:r>
    </w:p>
    <w:bookmarkEnd w:id="53"/>
    <w:bookmarkStart w:id="57" w:name="pacing-planned-versus-actual"/>
    <w:p>
      <w:pPr>
        <w:pStyle w:val="Heading3"/>
      </w:pPr>
      <w:r>
        <w:t xml:space="preserve">8.2.3 Pacing: planned versus actual</w:t>
      </w:r>
    </w:p>
    <w:p>
      <w:pPr>
        <w:pStyle w:val="FirstParagraph"/>
      </w:pP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Cluster</w:t>
            </w:r>
          </w:p>
        </w:tc>
        <w:tc>
          <w:tcPr/>
          <w:p>
            <w:pPr>
              <w:pStyle w:val="Compact"/>
              <w:jc w:val="left"/>
            </w:pPr>
            <w:r>
              <w:t xml:space="preserve">Flight elapsed</w:t>
            </w:r>
          </w:p>
        </w:tc>
        <w:tc>
          <w:tcPr/>
          <w:p>
            <w:pPr>
              <w:pStyle w:val="Compact"/>
              <w:jc w:val="left"/>
            </w:pPr>
            <w:r>
              <w:t xml:space="preserve">Planned by now</w:t>
            </w:r>
          </w:p>
        </w:tc>
        <w:tc>
          <w:tcPr/>
          <w:p>
            <w:pPr>
              <w:pStyle w:val="Compact"/>
              <w:jc w:val="left"/>
            </w:pPr>
            <w:r>
              <w:t xml:space="preserve">Actual</w:t>
            </w:r>
          </w:p>
        </w:tc>
      </w:tr>
      <w:tr>
        <w:tc>
          <w:tcPr/>
          <w:p>
            <w:pPr>
              <w:pStyle w:val="Compact"/>
              <w:jc w:val="left"/>
            </w:pPr>
            <w:r>
              <w:t xml:space="preserve">L1</w:t>
            </w:r>
          </w:p>
        </w:tc>
        <w:tc>
          <w:tcPr/>
          <w:p>
            <w:pPr>
              <w:pStyle w:val="Compact"/>
              <w:jc w:val="left"/>
            </w:pPr>
            <w:r>
              <w:t xml:space="preserve">33%</w:t>
            </w:r>
          </w:p>
        </w:tc>
        <w:tc>
          <w:tcPr/>
          <w:p>
            <w:pPr>
              <w:pStyle w:val="Compact"/>
              <w:jc w:val="left"/>
            </w:pPr>
            <w:r>
              <w:t xml:space="preserve">8,000 × 0.33 = 2,640</w:t>
            </w:r>
          </w:p>
        </w:tc>
        <w:tc>
          <w:tcPr/>
          <w:p>
            <w:pPr>
              <w:pStyle w:val="Compact"/>
              <w:jc w:val="left"/>
            </w:pPr>
            <w:r>
              <w:t xml:space="preserve">2,000</w:t>
            </w:r>
          </w:p>
        </w:tc>
      </w:tr>
      <w:tr>
        <w:tc>
          <w:tcPr/>
          <w:p>
            <w:pPr>
              <w:pStyle w:val="Compact"/>
              <w:jc w:val="left"/>
            </w:pPr>
            <w:r>
              <w:t xml:space="preserve">L2</w:t>
            </w:r>
          </w:p>
        </w:tc>
        <w:tc>
          <w:tcPr/>
          <w:p>
            <w:pPr>
              <w:pStyle w:val="Compact"/>
              <w:jc w:val="left"/>
            </w:pPr>
            <w:r>
              <w:t xml:space="preserve">50%</w:t>
            </w:r>
          </w:p>
        </w:tc>
        <w:tc>
          <w:tcPr/>
          <w:p>
            <w:pPr>
              <w:pStyle w:val="Compact"/>
              <w:jc w:val="left"/>
            </w:pPr>
            <w:r>
              <w:t xml:space="preserve">10,000 × 0.50 = 5,000</w:t>
            </w:r>
          </w:p>
        </w:tc>
        <w:tc>
          <w:tcPr/>
          <w:p>
            <w:pPr>
              <w:pStyle w:val="Compact"/>
              <w:jc w:val="left"/>
            </w:pPr>
            <w:r>
              <w:t xml:space="preserve">5,100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7,640</w:t>
            </w:r>
          </w:p>
        </w:tc>
        <w:tc>
          <w:tcPr/>
          <w:p>
            <w:pPr>
              <w:pStyle w:val="Compact"/>
              <w:jc w:val="left"/>
            </w:pPr>
            <w:r>
              <w:rPr>
                <w:b/>
                <w:bCs/>
              </w:rPr>
              <w:t xml:space="preserve">7,100</w:t>
            </w:r>
          </w:p>
        </w:tc>
      </w:tr>
    </w:tbl>
    <w:p>
      <w:pPr>
        <w:pStyle w:val="SourceCode"/>
      </w:pPr>
      <w:r>
        <w:rPr>
          <w:rStyle w:val="VerbatimChar"/>
        </w:rPr>
        <w:t xml:space="preserve">performance index  =  actual / planned-by-now  =  7,100 / 7,640  ≈  93%</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074333"/>
                  <wp:effectExtent b="0" l="0" r="0" t="0"/>
                  <wp:docPr descr="" title="" id="55" name="Picture"/>
                  <a:graphic>
                    <a:graphicData uri="http://schemas.openxmlformats.org/drawingml/2006/picture">
                      <pic:pic>
                        <pic:nvPicPr>
                          <pic:cNvPr descr="file:///E:/tmp/claude/E--Projects-Submitted-MobileAd-Comverse/464e82cd-870f-4dc1-b795-92348cf1a9b8/scratchpad/figs/fig6.png" id="56" name="Picture"/>
                          <pic:cNvPicPr>
                            <a:picLocks noChangeArrowheads="1" noChangeAspect="1"/>
                          </pic:cNvPicPr>
                        </pic:nvPicPr>
                        <pic:blipFill>
                          <a:blip r:embed="rId54"/>
                          <a:stretch>
                            <a:fillRect/>
                          </a:stretch>
                        </pic:blipFill>
                        <pic:spPr bwMode="auto">
                          <a:xfrm>
                            <a:off x="0" y="0"/>
                            <a:ext cx="5334000" cy="2074333"/>
                          </a:xfrm>
                          <a:prstGeom prst="rect">
                            <a:avLst/>
                          </a:prstGeom>
                          <a:noFill/>
                          <a:ln w="9525">
                            <a:noFill/>
                            <a:headEnd/>
                            <a:tailEnd/>
                          </a:ln>
                        </pic:spPr>
                      </pic:pic>
                    </a:graphicData>
                  </a:graphic>
                </wp:inline>
              </w:drawing>
            </w:r>
          </w:p>
        </w:tc>
      </w:tr>
    </w:tbl>
    <w:p>
      <w:pPr>
        <w:pStyle w:val="ImageCaption"/>
      </w:pPr>
      <w:r>
        <w:t xml:space="preserve">Figure 6.</w:t>
      </w:r>
      <w:r>
        <w:t xml:space="preserve"> </w:t>
      </w:r>
      <w:r>
        <w:t xml:space="preserve">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Campaign</w:t>
            </w:r>
          </w:p>
        </w:tc>
        <w:tc>
          <w:tcPr/>
          <w:p>
            <w:pPr>
              <w:pStyle w:val="Compact"/>
              <w:jc w:val="left"/>
            </w:pPr>
            <w:r>
              <w:t xml:space="preserve">Impression price</w:t>
            </w:r>
          </w:p>
        </w:tc>
        <w:tc>
          <w:tcPr/>
          <w:p>
            <w:pPr>
              <w:pStyle w:val="Compact"/>
              <w:jc w:val="left"/>
            </w:pPr>
            <w:r>
              <w:t xml:space="preserve">Click price</w:t>
            </w:r>
          </w:p>
        </w:tc>
        <w:tc>
          <w:tcPr/>
          <w:p>
            <w:pPr>
              <w:pStyle w:val="Compact"/>
              <w:jc w:val="left"/>
            </w:pPr>
            <w:r>
              <w:t xml:space="preserve">Perf. index</w:t>
            </w:r>
          </w:p>
        </w:tc>
        <w:tc>
          <w:tcPr/>
          <w:p>
            <w:pPr>
              <w:pStyle w:val="Compact"/>
              <w:jc w:val="left"/>
            </w:pPr>
            <w:r>
              <w:t xml:space="preserve">P(click)</w:t>
            </w:r>
          </w:p>
        </w:tc>
        <w:tc>
          <w:tcPr/>
          <w:p>
            <w:pPr>
              <w:pStyle w:val="Compact"/>
              <w:jc w:val="left"/>
            </w:pPr>
            <w:r>
              <w:t xml:space="preserve">Expected revenue</w:t>
            </w:r>
          </w:p>
        </w:tc>
      </w:tr>
      <w:tr>
        <w:tc>
          <w:tcPr/>
          <w:p>
            <w:pPr>
              <w:pStyle w:val="Compact"/>
              <w:jc w:val="left"/>
            </w:pPr>
            <w:r>
              <w:t xml:space="preserve">C1</w:t>
            </w:r>
          </w:p>
        </w:tc>
        <w:tc>
          <w:tcPr/>
          <w:p>
            <w:pPr>
              <w:pStyle w:val="Compact"/>
              <w:jc w:val="left"/>
            </w:pPr>
            <w:r>
              <w:t xml:space="preserve">$0.10</w:t>
            </w:r>
          </w:p>
        </w:tc>
        <w:tc>
          <w:tcPr/>
          <w:p>
            <w:pPr>
              <w:pStyle w:val="Compact"/>
              <w:jc w:val="left"/>
            </w:pPr>
            <w:r>
              <w:t xml:space="preserve">$1.00</w:t>
            </w:r>
          </w:p>
        </w:tc>
        <w:tc>
          <w:tcPr/>
          <w:p>
            <w:pPr>
              <w:pStyle w:val="Compact"/>
              <w:jc w:val="left"/>
            </w:pPr>
            <w:r>
              <w:t xml:space="preserve">55%</w:t>
            </w:r>
          </w:p>
        </w:tc>
        <w:tc>
          <w:tcPr/>
          <w:p>
            <w:pPr>
              <w:pStyle w:val="Compact"/>
              <w:jc w:val="left"/>
            </w:pPr>
            <w:r>
              <w:t xml:space="preserve">0.01</w:t>
            </w:r>
          </w:p>
        </w:tc>
        <w:tc>
          <w:tcPr/>
          <w:p>
            <w:pPr>
              <w:pStyle w:val="Compact"/>
              <w:jc w:val="left"/>
            </w:pPr>
            <w:r>
              <w:t xml:space="preserve">$0.110</w:t>
            </w:r>
          </w:p>
        </w:tc>
      </w:tr>
      <w:tr>
        <w:tc>
          <w:tcPr/>
          <w:p>
            <w:pPr>
              <w:pStyle w:val="Compact"/>
              <w:jc w:val="left"/>
            </w:pPr>
            <w:r>
              <w:t xml:space="preserve">C2</w:t>
            </w:r>
          </w:p>
        </w:tc>
        <w:tc>
          <w:tcPr/>
          <w:p>
            <w:pPr>
              <w:pStyle w:val="Compact"/>
              <w:jc w:val="left"/>
            </w:pPr>
            <w:r>
              <w:t xml:space="preserve">$0.10</w:t>
            </w:r>
          </w:p>
        </w:tc>
        <w:tc>
          <w:tcPr/>
          <w:p>
            <w:pPr>
              <w:pStyle w:val="Compact"/>
              <w:jc w:val="left"/>
            </w:pPr>
            <w:r>
              <w:t xml:space="preserve">$0.80</w:t>
            </w:r>
          </w:p>
        </w:tc>
        <w:tc>
          <w:tcPr/>
          <w:p>
            <w:pPr>
              <w:pStyle w:val="Compact"/>
              <w:jc w:val="left"/>
            </w:pPr>
            <w:r>
              <w:t xml:space="preserve">91%</w:t>
            </w:r>
          </w:p>
        </w:tc>
        <w:tc>
          <w:tcPr/>
          <w:p>
            <w:pPr>
              <w:pStyle w:val="Compact"/>
              <w:jc w:val="left"/>
            </w:pPr>
            <w:r>
              <w:t xml:space="preserve">0.03</w:t>
            </w:r>
          </w:p>
        </w:tc>
        <w:tc>
          <w:tcPr/>
          <w:p>
            <w:pPr>
              <w:pStyle w:val="Compact"/>
              <w:jc w:val="left"/>
            </w:pPr>
            <w:r>
              <w:t xml:space="preserve">$0.124</w:t>
            </w:r>
          </w:p>
        </w:tc>
      </w:tr>
      <w:tr>
        <w:tc>
          <w:tcPr/>
          <w:p>
            <w:pPr>
              <w:pStyle w:val="Compact"/>
              <w:jc w:val="left"/>
            </w:pPr>
            <w:r>
              <w:t xml:space="preserve">C3</w:t>
            </w:r>
          </w:p>
        </w:tc>
        <w:tc>
          <w:tcPr/>
          <w:p>
            <w:pPr>
              <w:pStyle w:val="Compact"/>
              <w:jc w:val="left"/>
            </w:pPr>
            <w:r>
              <w:t xml:space="preserve">$0.10</w:t>
            </w:r>
          </w:p>
        </w:tc>
        <w:tc>
          <w:tcPr/>
          <w:p>
            <w:pPr>
              <w:pStyle w:val="Compact"/>
              <w:jc w:val="left"/>
            </w:pPr>
            <w:r>
              <w:t xml:space="preserve">$1.50</w:t>
            </w:r>
          </w:p>
        </w:tc>
        <w:tc>
          <w:tcPr/>
          <w:p>
            <w:pPr>
              <w:pStyle w:val="Compact"/>
              <w:jc w:val="left"/>
            </w:pPr>
            <w:r>
              <w:t xml:space="preserve">96%</w:t>
            </w:r>
          </w:p>
        </w:tc>
        <w:tc>
          <w:tcPr/>
          <w:p>
            <w:pPr>
              <w:pStyle w:val="Compact"/>
              <w:jc w:val="left"/>
            </w:pPr>
            <w:r>
              <w:t xml:space="preserve">0.02</w:t>
            </w:r>
          </w:p>
        </w:tc>
        <w:tc>
          <w:tcPr/>
          <w:p>
            <w:pPr>
              <w:pStyle w:val="Compact"/>
              <w:jc w:val="left"/>
            </w:pPr>
            <w:r>
              <w:t xml:space="preserve">$0.130</w:t>
            </w:r>
          </w:p>
        </w:tc>
      </w:tr>
      <w:tr>
        <w:tc>
          <w:tcPr/>
          <w:p>
            <w:pPr>
              <w:pStyle w:val="Compact"/>
              <w:jc w:val="left"/>
            </w:pPr>
            <w:r>
              <w:t xml:space="preserve">C4</w:t>
            </w:r>
          </w:p>
        </w:tc>
        <w:tc>
          <w:tcPr/>
          <w:p>
            <w:pPr>
              <w:pStyle w:val="Compact"/>
              <w:jc w:val="left"/>
            </w:pPr>
            <w:r>
              <w:t xml:space="preserve">$0.10</w:t>
            </w:r>
          </w:p>
        </w:tc>
        <w:tc>
          <w:tcPr/>
          <w:p>
            <w:pPr>
              <w:pStyle w:val="Compact"/>
              <w:jc w:val="left"/>
            </w:pPr>
            <w:r>
              <w:t xml:space="preserve">$1.00</w:t>
            </w:r>
          </w:p>
        </w:tc>
        <w:tc>
          <w:tcPr/>
          <w:p>
            <w:pPr>
              <w:pStyle w:val="Compact"/>
              <w:jc w:val="left"/>
            </w:pPr>
            <w:r>
              <w:t xml:space="preserve">128%</w:t>
            </w:r>
          </w:p>
        </w:tc>
        <w:tc>
          <w:tcPr/>
          <w:p>
            <w:pPr>
              <w:pStyle w:val="Compact"/>
              <w:jc w:val="left"/>
            </w:pPr>
            <w:r>
              <w:t xml:space="preserve">0.07</w:t>
            </w:r>
          </w:p>
        </w:tc>
        <w:tc>
          <w:tcPr/>
          <w:p>
            <w:pPr>
              <w:pStyle w:val="Compact"/>
              <w:jc w:val="left"/>
            </w:pPr>
            <w:r>
              <w:t xml:space="preserve">$0.170</w:t>
            </w:r>
          </w:p>
        </w:tc>
      </w:tr>
    </w:tbl>
    <w:p>
      <w:pPr>
        <w:pStyle w:val="BodyText"/>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bookmarkEnd w:id="57"/>
    <w:bookmarkEnd w:id="58"/>
    <w:bookmarkStart w:id="59" w:name="related-work"/>
    <w:p>
      <w:pPr>
        <w:pStyle w:val="Heading2"/>
      </w:pPr>
      <w:r>
        <w:t xml:space="preserve">9</w:t>
      </w:r>
      <w:r>
        <w:t xml:space="preserve">Related work</w:t>
      </w:r>
    </w:p>
    <w:p>
      <w:pPr>
        <w:pStyle w:val="FirstParagraph"/>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5), and how to measure a plan's realized value against strong baselines without an online experiment. Budget-pacing controllers [13, 14] are the production embodiment of the adaptive alternative and correspond to the pacing loop our serving stage carries in Section 8.2. Relative to this line, our contributions are a pre-committable, falsifiable segmentation test and a public-log evaluation protocol; the architecture itself is a deployment sketch.</w:t>
      </w:r>
    </w:p>
    <w:p>
      <w:pPr>
        <w:pStyle w:val="BodyText"/>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4 applies the same discipline to allocation policies specifically, where we show single-model replay inflates lift through the plan’s own estimation noise.</w:t>
      </w:r>
    </w:p>
    <w:bookmarkEnd w:id="59"/>
    <w:bookmarkStart w:id="60" w:name="discussion"/>
    <w:p>
      <w:pPr>
        <w:pStyle w:val="Heading2"/>
      </w:pPr>
      <w:r>
        <w:t xml:space="preserve">10</w:t>
      </w:r>
      <w:r>
        <w:t xml:space="preserve">Discussion</w:t>
      </w:r>
    </w:p>
    <w:p>
      <w:pPr>
        <w:pStyle w:val="FirstParagraph"/>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60"/>
    <w:bookmarkStart w:id="61" w:name="scope-and-assumptions"/>
    <w:p>
      <w:pPr>
        <w:pStyle w:val="Heading2"/>
      </w:pPr>
      <w:r>
        <w:t xml:space="preserve">11</w:t>
      </w:r>
      <w:r>
        <w:t xml:space="preserve">Scope and assumptions</w:t>
      </w:r>
    </w:p>
    <w:p>
      <w:pPr>
        <w:pStyle w:val="FirstParagraph"/>
      </w:pPr>
      <w:r>
        <w:t xml:space="preserve">The method is built for operator-owned advertising markets, retail-media networks being the largest contemporary instance and the mobile-operator system that motivated it the originating one, where direct-sold campaigns carry guaranteed impression quotas with makegood penalties, logged-in first-party identity yields audience segments whose campaign-by-segment interaction persists across planning windows, and booked demand meets or exceeds supply on those segments; where any of these conditions fails, in particular where supply dwarfs demand, planning offers little over serving greedily. The conditions are checkable before deployment, and the paper measures each: interaction persistence r ≥ ~0.4 on the chosen axis (Section 5), per-cell planning density near 10</w:t>
      </w:r>
      <w:r>
        <w:rPr>
          <w:vertAlign w:val="superscript"/>
        </w:rPr>
        <w:t xml:space="preserve">3</w:t>
      </w:r>
      <w:r>
        <w:t xml:space="preserve"> </w:t>
      </w:r>
      <w:r>
        <w:t xml:space="preserve">(Algorithm 1), a re-plan cadence at least as fast as portfolio churn (the Avazu boundary), and contention κ</w:t>
      </w:r>
      <w:r>
        <w:rPr>
          <w:vertAlign w:val="subscript"/>
        </w:rPr>
        <w:t xml:space="preserve">s</w:t>
      </w:r>
      <w:r>
        <w:t xml:space="preserve"> </w:t>
      </w:r>
      <w:r>
        <w:t xml:space="preserve">at or above one on the interaction-carrying segments (Algorithm 1, step 6). The three public datasets are positioned accordingly: Taobao is the in-vertical evidence where all conditions hold, Avazu is the churn boundary where a daily plan fails until the cadence shrinks, and Outbrain is the contention boundary where an uncontended market yields little until demand is stressed. The two boundaries are not failed replications; they are the edges that make the deployment claim falsifiable.</w:t>
      </w:r>
    </w:p>
    <w:p>
      <w:pPr>
        <w:pStyle w:val="BodyText"/>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Section 8.1: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61"/>
    <w:bookmarkStart w:id="62" w:name="references"/>
    <w:p>
      <w:pPr>
        <w:pStyle w:val="Heading2"/>
      </w:pPr>
      <w:r>
        <w:t xml:space="preserve">References</w:t>
      </w:r>
    </w:p>
    <w:p>
      <w:pPr>
        <w:pStyle w:val="Compact"/>
        <w:numPr>
          <w:ilvl w:val="0"/>
          <w:numId w:val="1004"/>
        </w:numPr>
      </w:pPr>
      <w:r>
        <w:t xml:space="preserve">Q. Huangfu and J. A. J. Hall. Parallelizing the dual revised simplex method.</w:t>
      </w:r>
      <w:r>
        <w:t xml:space="preserve"> </w:t>
      </w:r>
      <w:r>
        <w:rPr>
          <w:i/>
          <w:iCs/>
        </w:rPr>
        <w:t xml:space="preserve">Mathematical Programming Computation</w:t>
      </w:r>
      <w:r>
        <w:t xml:space="preserve">, 10(1):119–142, 2018.</w:t>
      </w:r>
    </w:p>
    <w:p>
      <w:pPr>
        <w:pStyle w:val="Compact"/>
        <w:numPr>
          <w:ilvl w:val="0"/>
          <w:numId w:val="1004"/>
        </w:numPr>
      </w:pPr>
      <w:r>
        <w:t xml:space="preserve">Alibaba Tianchi. Ad Display/Click Data on Taobao.com. Dataset 56, tianchi.aliyun.com/dataset/56, accessed August 2026.</w:t>
      </w:r>
    </w:p>
    <w:p>
      <w:pPr>
        <w:pStyle w:val="Compact"/>
        <w:numPr>
          <w:ilvl w:val="0"/>
          <w:numId w:val="1004"/>
        </w:numPr>
      </w:pP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Compact"/>
        <w:numPr>
          <w:ilvl w:val="0"/>
          <w:numId w:val="1004"/>
        </w:numPr>
      </w:pPr>
      <w:r>
        <w:t xml:space="preserve">Avazu. Click-Through Rate Prediction. Kaggle competition, kaggle.com/c/avazu-ctr-prediction, 2014, accessed August 2026.</w:t>
      </w:r>
    </w:p>
    <w:p>
      <w:pPr>
        <w:pStyle w:val="Compact"/>
        <w:numPr>
          <w:ilvl w:val="0"/>
          <w:numId w:val="1004"/>
        </w:numPr>
      </w:pPr>
      <w:r>
        <w:t xml:space="preserve">A. Mehta. Online Matching and Ad Allocation.</w:t>
      </w:r>
      <w:r>
        <w:t xml:space="preserve"> </w:t>
      </w:r>
      <w:r>
        <w:rPr>
          <w:i/>
          <w:iCs/>
        </w:rPr>
        <w:t xml:space="preserve">Foundations and Trends in Theoretical Computer Science</w:t>
      </w:r>
      <w:r>
        <w:t xml:space="preserve">, 8(4):265–368, 2013.</w:t>
      </w:r>
    </w:p>
    <w:p>
      <w:pPr>
        <w:pStyle w:val="Compact"/>
        <w:numPr>
          <w:ilvl w:val="0"/>
          <w:numId w:val="1004"/>
        </w:numPr>
      </w:pP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Compact"/>
        <w:numPr>
          <w:ilvl w:val="0"/>
          <w:numId w:val="1004"/>
        </w:numPr>
      </w:pP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Compact"/>
        <w:numPr>
          <w:ilvl w:val="0"/>
          <w:numId w:val="1004"/>
        </w:numPr>
      </w:pP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Compact"/>
        <w:numPr>
          <w:ilvl w:val="0"/>
          <w:numId w:val="1004"/>
        </w:numPr>
      </w:pP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Compact"/>
        <w:numPr>
          <w:ilvl w:val="0"/>
          <w:numId w:val="1004"/>
        </w:numPr>
      </w:pPr>
      <w:r>
        <w:t xml:space="preserve">S. Agrawal, Z. Wang, and Y. Ye. A dynamic near-optimal algorithm for online linear programming.</w:t>
      </w:r>
      <w:r>
        <w:t xml:space="preserve"> </w:t>
      </w:r>
      <w:r>
        <w:rPr>
          <w:i/>
          <w:iCs/>
        </w:rPr>
        <w:t xml:space="preserve">Operations Research</w:t>
      </w:r>
      <w:r>
        <w:t xml:space="preserve">, 62(4):876–890, 2014.</w:t>
      </w:r>
    </w:p>
    <w:p>
      <w:pPr>
        <w:pStyle w:val="Compact"/>
        <w:numPr>
          <w:ilvl w:val="0"/>
          <w:numId w:val="1004"/>
        </w:numPr>
      </w:pP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Compact"/>
        <w:numPr>
          <w:ilvl w:val="0"/>
          <w:numId w:val="1004"/>
        </w:numPr>
      </w:pP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Compact"/>
        <w:numPr>
          <w:ilvl w:val="0"/>
          <w:numId w:val="1004"/>
        </w:numPr>
      </w:pP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Compact"/>
        <w:numPr>
          <w:ilvl w:val="0"/>
          <w:numId w:val="1004"/>
        </w:numPr>
      </w:pP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Compact"/>
        <w:numPr>
          <w:ilvl w:val="0"/>
          <w:numId w:val="1004"/>
        </w:numPr>
      </w:pP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Compact"/>
        <w:numPr>
          <w:ilvl w:val="0"/>
          <w:numId w:val="1004"/>
        </w:numPr>
      </w:pP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Compact"/>
        <w:numPr>
          <w:ilvl w:val="0"/>
          <w:numId w:val="1004"/>
        </w:numPr>
      </w:pP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Compact"/>
        <w:numPr>
          <w:ilvl w:val="0"/>
          <w:numId w:val="1004"/>
        </w:numPr>
      </w:pP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Compact"/>
        <w:numPr>
          <w:ilvl w:val="0"/>
          <w:numId w:val="1004"/>
        </w:numPr>
      </w:pP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Compact"/>
        <w:numPr>
          <w:ilvl w:val="0"/>
          <w:numId w:val="1004"/>
        </w:numPr>
      </w:pP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Compact"/>
        <w:numPr>
          <w:ilvl w:val="0"/>
          <w:numId w:val="1004"/>
        </w:numPr>
      </w:pP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Compact"/>
        <w:numPr>
          <w:ilvl w:val="0"/>
          <w:numId w:val="1004"/>
        </w:numPr>
      </w:pP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Compact"/>
        <w:numPr>
          <w:ilvl w:val="0"/>
          <w:numId w:val="1004"/>
        </w:numPr>
      </w:pP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Compact"/>
        <w:numPr>
          <w:ilvl w:val="0"/>
          <w:numId w:val="1004"/>
        </w:numPr>
      </w:pP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p>
      <w:pPr>
        <w:pStyle w:val="FirstParagraph"/>
      </w:pPr>
      <w:r>
        <w:t xml:space="preserve">Preprint, August 2026. Code and replay harness: github.com/ApartsinProjects/optimal-impression-allocation.</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2026-08-31T12:37:05Z</dcterms:created>
  <dcterms:modified xsi:type="dcterms:W3CDTF">2026-08-31T12:37:05Z</dcterms:modified>
</cp:coreProperties>
</file>

<file path=docProps/custom.xml><?xml version="1.0" encoding="utf-8"?>
<Properties xmlns="http://schemas.openxmlformats.org/officeDocument/2006/custom-properties" xmlns:vt="http://schemas.openxmlformats.org/officeDocument/2006/docPropsVTypes"/>
</file>