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keepNext w:val="0"/>
        <w:keepLines w:val="0"/>
        <w:widowControl w:val="1"/>
      </w:pPr>
      <w:r>
        <w:t xml:space="preserve">Preprint</w:t>
      </w:r>
    </w:p>
    <w:bookmarkStart w:id="9" w:name="segment-where-the-interaction-persists"/>
    <w:p>
      <w:pPr>
        <w:pStyle w:val="Title"/>
        <w:spacing w:before="0" w:after="160"/>
        <w:jc w:val="center"/>
        <w:keepNext/>
        <w:keepLines/>
        <w:widowControl w:val="1"/>
      </w:pPr>
      <w:r>
        <w:t xml:space="preserve">Segment Where the Interaction Persists</w:t>
      </w:r>
    </w:p>
    <w:p>
      <w:pPr>
        <w:pStyle w:val="Subtitle"/>
        <w:spacing w:before="0" w:after="40"/>
        <w:jc w:val="center"/>
        <w:keepNext/>
        <w:keepLines/>
        <w:widowControl w:val="1"/>
      </w:pPr>
      <w:r>
        <w:rPr>
          <w:rFonts w:ascii="Georgia" w:hAnsi="Georgia"/>
          <w:b/>
          <w:i w:val="0"/>
          <w:sz w:val="22"/>
        </w:rPr>
        <w:t xml:space="preserve">A Segmentation Rule and a Regime Map for When Planning Beats Online Pacing in Quota-Constrained Ad Allocation</w:t>
      </w:r>
    </w:p>
    <w:p>
      <w:pPr>
        <w:pStyle w:val="Subtitle"/>
        <w:spacing w:before="0" w:after="40"/>
        <w:jc w:val="center"/>
        <w:keepNext/>
        <w:keepLines/>
        <w:widowControl w:val="1"/>
      </w:pPr>
      <w:r>
        <w:rPr>
          <w:rFonts w:ascii="Georgia" w:hAnsi="Georgia"/>
          <w:b/>
          <w:i w:val="0"/>
          <w:sz w:val="22"/>
        </w:rPr>
        <w:t xml:space="preserve">Alexander Apartsin</w:t>
      </w:r>
      <w:r>
        <w:rPr>
          <w:rFonts w:ascii="Georgia" w:hAnsi="Georgia"/>
          <w:b/>
          <w:i w:val="0"/>
          <w:sz w:val="22"/>
          <w:vertAlign w:val="superscript"/>
        </w:rPr>
        <w:t xml:space="preserve">1</w:t>
      </w:r>
      <w:r>
        <w:rPr>
          <w:rFonts w:ascii="Georgia" w:hAnsi="Georgia"/>
          <w:b/>
          <w:i w:val="0"/>
          <w:sz w:val="22"/>
        </w:rPr>
        <w:t xml:space="preserve"> · Yehudit Aperstein</w:t>
      </w:r>
      <w:r>
        <w:rPr>
          <w:rFonts w:ascii="Georgia" w:hAnsi="Georgia"/>
          <w:b/>
          <w:i w:val="0"/>
          <w:sz w:val="22"/>
          <w:vertAlign w:val="superscript"/>
        </w:rPr>
        <w:t xml:space="preserve">2</w:t>
      </w:r>
    </w:p>
    <w:p>
      <w:pPr>
        <w:pStyle w:val="Subtitle"/>
        <w:spacing w:before="0" w:after="160"/>
        <w:jc w:val="center"/>
        <w:keepNext w:val="0"/>
        <w:keepLines/>
        <w:widowControl w:val="1"/>
      </w:pPr>
      <w:r>
        <w:rPr>
          <w:rFonts w:ascii="Georgia" w:hAnsi="Georgia"/>
          <w:b w:val="0"/>
          <w:i/>
          <w:sz w:val="19"/>
          <w:vertAlign w:val="superscript"/>
        </w:rPr>
        <w:t xml:space="preserve">1</w:t>
      </w:r>
      <w:r>
        <w:rPr>
          <w:rFonts w:ascii="Georgia" w:hAnsi="Georgia"/>
          <w:b w:val="0"/>
          <w:i/>
          <w:sz w:val="19"/>
        </w:rPr>
        <w:t xml:space="preserve">School of Computer Science, Faculty of Sciences, Holon Institute of Technology (HIT), Holon, Israel</w:t>
      </w:r>
      <w:r>
        <w:rPr>
          <w:rFonts w:ascii="Georgia" w:hAnsi="Georgia"/>
          <w:b w:val="0"/>
          <w:i/>
          <w:sz w:val="19"/>
        </w:rPr>
        <w:br/>
      </w:r>
      <w:r>
        <w:rPr>
          <w:rFonts w:ascii="Georgia" w:hAnsi="Georgia"/>
          <w:b w:val="0"/>
          <w:i/>
          <w:sz w:val="19"/>
          <w:vertAlign w:val="superscript"/>
        </w:rPr>
        <w:t xml:space="preserve">2</w:t>
      </w:r>
      <w:r>
        <w:rPr>
          <w:rFonts w:ascii="Georgia" w:hAnsi="Georgia"/>
          <w:b w:val="0"/>
          <w:i/>
          <w:sz w:val="19"/>
        </w:rPr>
        <w:t xml:space="preserve">Intelligent Systems, Afeka Academic College of Engineering, Tel-Aviv, Israel</w:t>
      </w:r>
    </w:p>
    <w:bookmarkEnd w:id="9"/>
    <w:bookmarkStart w:id="10" w:name="abstract"/>
    <w:p>
      <w:pPr>
        <w:pStyle w:val="AbstractLabel"/>
        <w:jc w:val="center"/>
        <w:keepNext/>
        <w:keepLines/>
        <w:widowControl w:val="1"/>
      </w:pPr>
      <w:r>
        <w:t xml:space="preserve">Abstract</w:t>
      </w:r>
    </w:p>
    <w:p>
      <w:pPr>
        <w:pStyle w:val="FirstParagraph"/>
        <w:ind w:left="432" w:right="432" w:firstLine="0"/>
        <w:jc w:val="both"/>
        <w:keepNext w:val="0"/>
        <w:keepLines w:val="0"/>
        <w:widowControl w:val="1"/>
      </w:pPr>
      <w:r>
        <w:t xml:space="preserve">Platforms that sell guaranteed impression quotas must decide which audience segments each campaign’s impressions go to. Under fixed quotas, exactly one statistical quantity can make one allocation better than another: the part of click-through rate specific to the campaign-segment pairing (the interaction), and only where it persists from the planning window into the serving window. Average campaign performance is pinned by the quotas and average segment performance by supply, so neither can change an allocation’s value. We give a pre-committable rule for choosing the segmentation an allocator should use: on each candidate axis, remove campaign and segment averages from the cell-level click rates, correlate the remaining pairing-specific residuals across adjacent planning windows, segment only on the axes where they persist, and set granularity in proportion to per-cell data density. On 26.6M impressions of the Taobao display-advertising log, we compute the rule from planning-window data alone, without reference to replay outcomes. It selects the configuration whose replay results match the full ablation ordering: activity tiers pay, demographics and time do not, and finer granularity pays only while cells stay dense. On Avazu the rule ranks axes consistently, and the boundary where a daily plan fails confirms the re-planning timescale it implies. A pre-registered application to a third log (Outbrain), with the configuration frozen before replay, transfers the rule’s persistence ranking and marks its scope: persistence identifies exploitable axes, but contention governs the realized lift. An uncontended market yields little to allocate, whatever the segmentation. The operational rule is three steps, all computable before serving: segment on the axes whose interaction persists, measure contention to decide whether allocation is worth doing, and obtain pacing prices by solving and re-solving the plan.</w:t>
      </w:r>
    </w:p>
    <w:p>
      <w:pPr>
        <w:pStyle w:val="BodyText"/>
        <w:ind w:left="432" w:right="432" w:firstLine="0"/>
        <w:jc w:val="both"/>
        <w:keepNext w:val="0"/>
        <w:keepLines w:val="0"/>
        <w:widowControl w:val="1"/>
      </w:pPr>
      <w:r>
        <w:t xml:space="preserve">Evaluation uses a replay protocol hardened against a trap we document: when one estimated click table both builds the plan and scores it, the plan harvests the table’s own estimation noise and the measured lift is inflated, a winner’s curse. Scoring every policy under an independent table fitted on the serving window, an exact uniform-null control, support and fatigue audits, and user-clustered inference (headline z = 4.55) delimit what public logs can show, and a semi-synthetic benchmark with a known ground truth confirms the protocol recovers the true policy ranking and the true best policy, even under an adversarial logging policy that selects on the outcome. The protocol yields a regime map. At exact feasibility, plan-informed policies beat greedy serving by 3.5–4.5% expected clicks, and information-matched, feasibility-aware dual-price pacing nearly matches them. Under over-subscription (quotas at 110–150% of supply), online price learning degrades along a spectrum: a scalar controller fails first, and even dual mirror descent, the state-of-the-art adaptive method, tracks the plan through moderate contention but falls below greedy under heavy over-subscription. The periodically re-solved plan dominates every contended regime (+2.2 to +4.3% over greedy, z ≥ 3.4) and is the one price source positive across every contention level, dataset, and objective we test. A price vector solved once at the LP optimum survives the click objective but turns negative under contention when the objective is revenue with heterogeneous per-click and per-impression values and delivery penalties. The durable prescription is therefore to obtain prices by solving and re-solving the plan, not by learning them online. The ordering reproduces on a second dataset (Outbrain, 87M impressions), where online pacing deepens to −44%, and the whole regime map transfers to the revenue objective, where the plan tier’s advantage grows as delivery guarantees harden. Grounding the gains in realized outcomes is inconclusive on the small logging-matched subset, an inherent limit of public-log evaluation.</w:t>
      </w:r>
    </w:p>
    <w:p>
      <w:pPr>
        <w:spacing w:before="0" w:after="0" w:line="760" w:lineRule="exact"/>
        <w:rPr>
          <w:sz w:val="2"/>
          <w:szCs w:val="2"/>
        </w:rPr>
      </w:pPr>
    </w:p>
    <w:p>
      <w:pPr>
        <w:spacing w:before="0" w:after="0" w:line="20" w:lineRule="exact"/>
        <w:rPr>
          <w:sz w:val="2"/>
          <w:szCs w:val="2"/>
        </w:rPr>
        <w:sectPr w:rsidR="00FC693F" w:rsidRPr="0006063C" w:rsidSect="00034616">
          <w:footerReference w:type="default" r:id="rId9"/>
          <w:type w:val="continuous"/>
          <w:pgSz w:h="15840" w:w="12240"/>
          <w:pgMar w:bottom="1080" w:footer="720" w:gutter="0" w:header="720" w:left="1080" w:right="1080" w:top="1080"/>
          <w:cols w:num="1" w:space="288"/>
          <w:docGrid w:linePitch="360"/>
        </w:sectPr>
      </w:pPr>
    </w:p>
    <w:bookmarkEnd w:id="10"/>
    <w:bookmarkStart w:id="11" w:name="introduction"/>
    <w:p>
      <w:pPr>
        <w:pStyle w:val="Heading2"/>
        <w:keepNext/>
        <w:keepLines/>
        <w:widowControl w:val="1"/>
      </w:pPr>
      <w:r>
        <w:t xml:space="preserve">1</w:t>
      </w:r>
      <w:r>
        <w:t xml:space="preserve"> </w:t>
      </w:r>
      <w:r>
        <w:t xml:space="preserve">Introduction</w:t>
      </w:r>
    </w:p>
    <w:p>
      <w:pPr>
        <w:pStyle w:val="FirstParagraph"/>
        <w:jc w:val="both"/>
        <w:keepNext w:val="0"/>
        <w:keepLines w:val="0"/>
        <w:widowControl w:val="1"/>
      </w:pPr>
      <w:r>
        <w:t xml:space="preserve">A mobile advertising platform must answer one question millions of times a day:</w:t>
      </w:r>
      <w:r>
        <w:t xml:space="preserve"> </w:t>
      </w:r>
      <w:r>
        <w:rPr>
          <w:i/>
          <w:iCs/>
        </w:rPr>
        <w:t xml:space="preserve">a subscriber has just opened a page; which campaign should fill this impression?</w:t>
      </w:r>
      <w:r>
        <w:t xml:space="preserve"> </w:t>
      </w:r>
      <w:r>
        <w:t xml:space="preserve">The obvious answer, show whichever ad this subscriber is most likely to click, is wrong. Campaigns carry contracted impression quotas, subscribers arrive in an unpredictable order, and every impression given to one campaign is an impression denied to all others. Serving each impression greedily fills popular campaigns with the first subscribers who arrive, not those who respond best, and leaves the remaining campaigns with a poorly matched audience.</w:t>
      </w:r>
    </w:p>
    <w:p>
      <w:pPr>
        <w:pStyle w:val="BodyText"/>
        <w:jc w:val="both"/>
        <w:keepNext w:val="0"/>
        <w:keepLines w:val="0"/>
        <w:widowControl w:val="1"/>
      </w:pPr>
      <w:r>
        <w:t xml:space="preserve">On the open web this failure is blunted by coarseness: broad audiences are interchangeable audiences, so the opportunity cost of a greedy choice is small. Operator-owned advertising markets invert that condition. A platform that owns logged-in, first-party identity, a mobile operator, or, in its largest contemporary form, a retail-media network selling onsite display against its own commerce data, supports far finer segmentation, and fine segmentation is precisely what advertisers pay it for: not “males 18–49” but heavy category buyers on related content in the promotional window. Its campaigns are sold direct as guaranteed impression quotas with makegood penalties, and it controls the whole serving stack, with no auction standing between the plan and the impression. This study applies to that class of market. Its originating instance is the mobile-operator system of Section 8, its largest current instance is retail media, and the public commerce-media log we evaluate on (Taobao) comes from inside it.</w:t>
      </w:r>
    </w:p>
    <w:p>
      <w:pPr>
        <w:pStyle w:val="BodyText"/>
        <w:jc w:val="both"/>
        <w:keepNext w:val="0"/>
        <w:keepLines w:val="0"/>
        <w:widowControl w:val="1"/>
      </w:pPr>
      <w:r>
        <w:t xml:space="preserve">Precision is what turns serving into an allocation problem. Narrow, high-value targets are scarce, and campaigns defined this precisely overlap: the subscribers one advertiser most wants are the subscribers other advertisers most want, in the same hours, on the same content. Contention over specific sub-audiences stops being an edge case and becomes the normal operating condition. Every impression then carries a real opportunity cost, and greedy serving, harmless when audiences are interchangeable, systematically hands the scarcest inventory to whichever campaign arrives first. The same richness that creates the problem also makes it solvable: with complete attribution, the click probability of every (campaign, segment) pair is a measured quantity, so the cost of any assignment against any alternative can be computed rather than guessed. An operator that targets precisely and attributes completely does not merely benefit from global optimization; it forfeits the value of its own data without it. Precision here is a property of</w:t>
      </w:r>
      <w:r>
        <w:t xml:space="preserve"> </w:t>
      </w:r>
      <w:r>
        <w:rPr>
          <w:i/>
          <w:iCs/>
        </w:rPr>
        <w:t xml:space="preserve">demand</w:t>
      </w:r>
      <w:r>
        <w:t xml:space="preserve">: advertisers buy narrow targets, and narrow targets contend. Which segmentation the allocator itself should use is a separate, empirical question, and Section 5 shows its answer is governed by which interactions persist, not by maximal fineness.</w:t>
      </w:r>
    </w:p>
    <w:p>
      <w:pPr>
        <w:pStyle w:val="BodyText"/>
        <w:jc w:val="both"/>
        <w:keepNext w:val="0"/>
        <w:keepLines w:val="0"/>
        <w:widowControl w:val="1"/>
      </w:pPr>
      <w:r>
        <w:t xml:space="preserve">This paper treats ad serving as that</w:t>
      </w:r>
      <w:r>
        <w:t xml:space="preserve"> </w:t>
      </w:r>
      <w:r>
        <w:rPr>
          <w:b/>
          <w:bCs/>
        </w:rPr>
        <w:t xml:space="preserve">global allocation problem</w:t>
      </w:r>
      <w:r>
        <w:t xml:space="preserve"> </w:t>
      </w:r>
      <w:r>
        <w:t xml:space="preserve">and makes three contributions, each validated on public advertising logs. First, a pre-committable segmentation rule: measure the persistence of campaign-by-segment interaction residuals across adjacent planning windows, segment only on the axes that persist, and scale granularity to per-cell data density. Second, a replay evaluation protocol for allocation policies, hardened against the winner’s curse and selection artifacts that we show inflate naive replay. Third, a regime map locating where planning pays: plan-informed policies lead at exact feasibility and dominate outright under over-subscription, where online dual-price learning collapses and solving for the prices does not. The map holds on a second dataset and under a revenue objective with delivery guarantees.</w:t>
      </w:r>
    </w:p>
    <w:p>
      <w:pPr>
        <w:pStyle w:val="BodyText"/>
        <w:jc w:val="both"/>
        <w:keepNext w:val="0"/>
        <w:keepLines w:val="0"/>
        <w:widowControl w:val="1"/>
      </w:pPr>
      <w:r>
        <w:t xml:space="preserve">Together these compose a three-step rule that the planning team of any retail-media network or operator-owned platform can act on directly.</w:t>
      </w:r>
      <w:r>
        <w:t xml:space="preserve"> </w:t>
      </w:r>
      <w:r>
        <w:rPr>
          <w:b/>
          <w:bCs/>
        </w:rPr>
        <w:t xml:space="preserve">Probe persistence</w:t>
      </w:r>
      <w:r>
        <w:t xml:space="preserve"> </w:t>
      </w:r>
      <w:r>
        <w:t xml:space="preserve">to choose the segmentation: keep the axes whose campaign-by-segment interaction persists across planning windows, at the depth per-cell data supports.</w:t>
      </w:r>
      <w:r>
        <w:t xml:space="preserve"> </w:t>
      </w:r>
      <w:r>
        <w:rPr>
          <w:b/>
          <w:bCs/>
        </w:rPr>
        <w:t xml:space="preserve">Measure contention</w:t>
      </w:r>
      <w:r>
        <w:t xml:space="preserve"> </w:t>
      </w:r>
      <w:r>
        <w:t xml:space="preserve">to decide whether allocating is worth the effort at all: compare each segment’s supply to the quotas booked against it, because an uncontended market yields little to allocate whatever the segmentation.</w:t>
      </w:r>
      <w:r>
        <w:t xml:space="preserve"> </w:t>
      </w:r>
      <w:r>
        <w:rPr>
          <w:b/>
          <w:bCs/>
        </w:rPr>
        <w:t xml:space="preserve">Solve for the prices</w:t>
      </w:r>
      <w:r>
        <w:t xml:space="preserve"> </w:t>
      </w:r>
      <w:r>
        <w:t xml:space="preserve">when it is contended: obtain the dual prices by solving the plan and re-solving on the pacing cadence, rather than learning them online, which is the only price source robust across every contention level, dataset, and objective we test. The rest of the paper establishes each step and the evidence behind it.</w:t>
      </w:r>
    </w:p>
    <w:p>
      <w:pPr>
        <w:pStyle w:val="BodyText"/>
        <w:jc w:val="both"/>
        <w:keepNext w:val="0"/>
        <w:keepLines w:val="0"/>
        <w:widowControl w:val="1"/>
      </w:pPr>
      <w:r>
        <w:t xml:space="preserve">Section 2 quantifies the cost of greedy serving on a minimal instance and Section 3 states the allocation program and its interaction-invariance structure. Section 4 develops the replay protocol and validates it against a known ground truth, Section 5 the persistence rule, and Section 6 the regime map, its cross-dataset and revenue-objective replications. Section 7 calibrates the harness on a synthetic market with known ground truth, Section 8 summarizes the reference serving architecture that motivated the study, with the full design in Appendix A, and Section 9 situates the work in the online-allocation and offline-evaluation literature. Sections 10 and 11 close with design principles and scope.</w:t>
      </w:r>
    </w:p>
    <w:bookmarkEnd w:id="11"/>
    <w:bookmarkStart w:id="15" w:name="the-allocation-problem-a-worked-example"/>
    <w:p>
      <w:pPr>
        <w:pStyle w:val="Heading2"/>
        <w:keepNext/>
        <w:keepLines/>
        <w:widowControl w:val="1"/>
      </w:pPr>
      <w:r>
        <w:t xml:space="preserve">2</w:t>
      </w:r>
      <w:r>
        <w:t xml:space="preserve"> </w:t>
      </w:r>
      <w:r>
        <w:t xml:space="preserve">The allocation problem: a worked example</w:t>
      </w:r>
    </w:p>
    <w:p>
      <w:pPr>
        <w:pStyle w:val="FirstParagraph"/>
        <w:jc w:val="both"/>
        <w:keepNext w:val="0"/>
        <w:keepLines w:val="0"/>
        <w:widowControl w:val="1"/>
      </w:pPr>
      <w:r>
        <w:t xml:space="preserve">Consider the smallest instance in which greedy serving and planned allocation come apart. Two campaigns run at the same time: a soft drink and a sports car. Each has bought exactly</w:t>
      </w:r>
      <w:r>
        <w:t xml:space="preserve"> </w:t>
      </w:r>
      <w:r>
        <w:rPr>
          <w:b/>
          <w:bCs/>
        </w:rPr>
        <w:t xml:space="preserve">two impressions</w:t>
      </w:r>
      <w:r>
        <w:t xml:space="preserve">. Four subscribers will each generate one ad opportunity. From past behavior we can estimate every subscriber’s probability of clicking each campaign:</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Subscriber</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P(click | drink)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P(click | car)</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u₁</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0.80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u₂</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0.50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u₃</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0.60</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u₄</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0.40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0.70</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A greedy server shows every subscriber their personally best ad. All four prefer the car, so the car campaign’s quota is consumed by whoever happens to arrive first, say u₁ and u₂. The drink campaign is then forced onto the remaining two:</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drawing>
                <wp:inline>
                  <wp:extent cx="5943600" cy="2476500"/>
                  <wp:effectExtent b="0" l="0" r="0" t="0"/>
                  <wp:docPr descr="Figure 1" title="" id="13" name="Picture"/>
                  <a:graphic>
                    <a:graphicData uri="http://schemas.openxmlformats.org/drawingml/2006/picture">
                      <pic:pic>
                        <pic:nvPicPr>
                          <pic:cNvPr descr="figs2col/fig1.png" id="14" name="Picture"/>
                          <pic:cNvPicPr>
                            <a:picLocks noChangeArrowheads="1" noChangeAspect="1"/>
                          </pic:cNvPicPr>
                        </pic:nvPicPr>
                        <pic:blipFill>
                          <a:blip r:embed="rId12"/>
                          <a:stretch>
                            <a:fillRect/>
                          </a:stretch>
                        </pic:blipFill>
                        <pic:spPr bwMode="auto">
                          <a:xfrm>
                            <a:off x="0" y="0"/>
                            <a:ext cx="5943600" cy="2476500"/>
                          </a:xfrm>
                          <a:prstGeom prst="rect">
                            <a:avLst/>
                          </a:prstGeom>
                          <a:noFill/>
                          <a:ln w="9525">
                            <a:noFill/>
                            <a:headEnd/>
                            <a:tailEnd/>
                          </a:ln>
                        </pic:spPr>
                      </pic:pic>
                    </a:graphicData>
                  </a:graphic>
                </wp:inline>
              </w:drawing>
            </w:r>
          </w:p>
        </w:tc>
      </w:tr>
    </w:tbl>
    <w:p>
      <w:pPr>
        <w:pStyle w:val="ImageCaption"/>
        <w:spacing w:before="80" w:after="120" w:line="240" w:lineRule="auto"/>
        <w:jc w:val="center"/>
        <w:keepNext w:val="0"/>
        <w:keepLines/>
        <w:widowControl w:val="1"/>
      </w:pPr>
      <w:r>
        <w:rPr>
          <w:b/>
          <w:i/>
        </w:rPr>
        <w:t>Figure 1.</w:t>
      </w:r>
      <w:r>
        <w:rPr>
          <w:b w:val="0"/>
          <w:i/>
        </w:rPr>
        <w:t xml:space="preserve"> </w:t>
      </w:r>
      <w:r>
        <w:rPr>
          <w:b w:val="0"/>
          <w:i/>
        </w:rPr>
        <w:t>Two campaigns, four subscribers, two impressions per campaign. Greedy serving fills the car campaign with the first arrivals (u₁, u₂) for 0.80 + 0.50 + 0.20 + 0.40 = 1.90 expected clicks. The optimal assignment gives the car campaign u₁ and u₃ and the drink campaign u₂ and u₄, for 0.80 + 0.60 + 0.30 + 0.40 = 2.10, an 11% lift from re-pairing the same impressions. The greedy value depends on arrival order; averaged over all orders it is 1.80, so the drawn order is a conservative case.</w:t>
      </w:r>
    </w:p>
    <w:p>
      <w:pPr>
        <w:pStyle w:val="BodyText"/>
        <w:jc w:val="both"/>
        <w:keepNext w:val="0"/>
        <w:keepLines w:val="0"/>
        <w:widowControl w:val="1"/>
      </w:pPr>
      <w:r>
        <w:t xml:space="preserve">Nothing about the subscribers or the campaigns changed between the two panels. The only difference is that the right-hand assignment was chosen</w:t>
      </w:r>
      <w:r>
        <w:t xml:space="preserve"> </w:t>
      </w:r>
      <w:r>
        <w:rPr>
          <w:i/>
          <w:iCs/>
        </w:rPr>
        <w:t xml:space="preserve">jointly</w:t>
      </w:r>
      <w:r>
        <w:t xml:space="preserve">: the car campaign gives up u₂ (a 0.50 click chance), whose 0.30 with the drink remains a strong pairing, and takes u₃ (0.60) instead. Each individual swap looks locally worse for someone; the total is strictly better.</w:t>
      </w:r>
    </w:p>
    <w:p>
      <w:pPr>
        <w:pStyle w:val="BodyText"/>
        <w:jc w:val="both"/>
        <w:keepNext w:val="0"/>
        <w:keepLines w:val="0"/>
        <w:widowControl w:val="1"/>
      </w:pPr>
      <w:r>
        <w:t xml:space="preserve">The gap grows with scale. With hundreds of campaigns, millions of subscribers, targeting constraints, frequency caps, and time-of-day windows, greedy serving does not just lose a few percent: it systematically starves narrow-audience campaigns, over-exposes indifferent subscribers, and leaves contracted quotas unfilled at the end of the flight. Optimal allocation is not a refinement of ad serving; it is the difference between selling inventory and wasting it.</w:t>
      </w:r>
    </w:p>
    <w:p>
      <w:pPr>
        <w:pStyle w:val="BodyText"/>
        <w:jc w:val="both"/>
        <w:keepNext w:val="0"/>
        <w:keepLines w:val="0"/>
        <w:widowControl w:val="1"/>
      </w:pPr>
      <w:r>
        <w:rPr>
          <w:b/>
          <w:bCs/>
        </w:rPr>
        <w:t xml:space="preserve">The core insight:</w:t>
      </w:r>
      <w:r>
        <w:t xml:space="preserve"> </w:t>
      </w:r>
      <w:r>
        <w:t xml:space="preserve">click probability is a property of a</w:t>
      </w:r>
      <w:r>
        <w:t xml:space="preserve"> </w:t>
      </w:r>
      <w:r>
        <w:rPr>
          <w:i/>
          <w:iCs/>
        </w:rPr>
        <w:t xml:space="preserve">pair</w:t>
      </w:r>
      <w:r>
        <w:t xml:space="preserve"> </w:t>
      </w:r>
      <w:r>
        <w:t xml:space="preserve">(audience, campaign), not of a campaign alone. Revenue is maximized by choosing the pairing globally, subject to each campaign’s quota, and this choice can be made ahead of time because audience behavior is statistically predictable even though individual events are not.</w:t>
      </w:r>
    </w:p>
    <w:bookmarkEnd w:id="15"/>
    <w:bookmarkStart w:id="17" w:name="formulation"/>
    <w:p>
      <w:pPr>
        <w:pStyle w:val="Heading2"/>
        <w:keepNext/>
        <w:keepLines/>
        <w:widowControl w:val="1"/>
      </w:pPr>
      <w:r>
        <w:t xml:space="preserve">3</w:t>
      </w:r>
      <w:r>
        <w:t xml:space="preserve"> </w:t>
      </w:r>
      <w:r>
        <w:t xml:space="preserve">Formulation</w:t>
      </w:r>
    </w:p>
    <w:p>
      <w:pPr>
        <w:pStyle w:val="FirstParagraph"/>
        <w:jc w:val="both"/>
        <w:keepNext w:val="0"/>
        <w:keepLines w:val="0"/>
        <w:widowControl w:val="1"/>
      </w:pPr>
      <w:r>
        <w:t xml:space="preserve">Formally, the planning stage solves a transportation-style optimization. Audience supply is described by segments:</w:t>
      </w:r>
      <w:r>
        <w:t xml:space="preserve"> </w:t>
      </w:r>
      <w:r>
        <w:rPr>
          <w:i/>
          <w:iCs/>
        </w:rPr>
        <w:t xml:space="preserve">s</w:t>
      </w:r>
      <w:r>
        <w:t xml:space="preserve"> </w:t>
      </w:r>
      <w:r>
        <w:t xml:space="preserve">ranges over (cluster, context slot) pairs, where a cluster is a group of behaviorally similar subscribers and a context slot is a recurring situation (a time window crossed with a content category). Let</w:t>
      </w:r>
      <w:r>
        <w:t xml:space="preserve"> </w:t>
      </w:r>
      <w:r>
        <w:rPr>
          <w:i/>
          <w:iCs/>
        </w:rPr>
        <w:t xml:space="preserve">H</w:t>
      </w:r>
      <w:r>
        <w:rPr>
          <w:i/>
          <w:iCs/>
          <w:vertAlign w:val="subscript"/>
        </w:rPr>
        <w:t xml:space="preserve">s</w:t>
      </w:r>
      <w:r>
        <w:t xml:space="preserve"> </w:t>
      </w:r>
      <w:r>
        <w:t xml:space="preserve">be the predicted number of impressions segment</w:t>
      </w:r>
      <w:r>
        <w:t xml:space="preserve"> </w:t>
      </w:r>
      <w:r>
        <w:rPr>
          <w:i/>
          <w:iCs/>
        </w:rPr>
        <w:t xml:space="preserve">s</w:t>
      </w:r>
      <w:r>
        <w:t xml:space="preserve"> </w:t>
      </w:r>
      <w:r>
        <w:t xml:space="preserve">will generate during the planning horizon, and</w:t>
      </w:r>
      <w:r>
        <w:t xml:space="preserve"> </w:t>
      </w:r>
      <w:r>
        <w:rPr>
          <w:i/>
          <w:iCs/>
        </w:rPr>
        <w:t xml:space="preserve">p</w:t>
      </w:r>
      <w:r>
        <w:rPr>
          <w:i/>
          <w:iCs/>
          <w:vertAlign w:val="subscript"/>
        </w:rPr>
        <w:t xml:space="preserve">c,s</w:t>
      </w:r>
      <w:r>
        <w:t xml:space="preserve"> </w:t>
      </w:r>
      <w:r>
        <w:t xml:space="preserve">the estimated probability that an impression from segment</w:t>
      </w:r>
      <w:r>
        <w:t xml:space="preserve"> </w:t>
      </w:r>
      <w:r>
        <w:rPr>
          <w:i/>
          <w:iCs/>
        </w:rPr>
        <w:t xml:space="preserve">s</w:t>
      </w:r>
      <w:r>
        <w:t xml:space="preserve"> </w:t>
      </w:r>
      <w:r>
        <w:t xml:space="preserve">produces a click on campaign</w:t>
      </w:r>
      <w:r>
        <w:t xml:space="preserve"> </w:t>
      </w:r>
      <w:r>
        <w:rPr>
          <w:i/>
          <w:iCs/>
        </w:rPr>
        <w:t xml:space="preserve">c</w:t>
      </w:r>
      <w:r>
        <w:t xml:space="preserve">. Each campaign pays</w:t>
      </w:r>
      <w:r>
        <w:t xml:space="preserve"> </w:t>
      </w:r>
      <w:r>
        <w:rPr>
          <w:i/>
          <w:iCs/>
        </w:rPr>
        <w:t xml:space="preserve">r</w:t>
      </w:r>
      <w:r>
        <w:rPr>
          <w:i/>
          <w:iCs/>
          <w:vertAlign w:val="subscript"/>
        </w:rPr>
        <w:t xml:space="preserve">c</w:t>
      </w:r>
      <w:r>
        <w:t xml:space="preserve"> </w:t>
      </w:r>
      <w:r>
        <w:t xml:space="preserve">per impression and</w:t>
      </w:r>
      <w:r>
        <w:t xml:space="preserve"> </w:t>
      </w:r>
      <w:r>
        <w:rPr>
          <w:i/>
          <w:iCs/>
        </w:rPr>
        <w:t xml:space="preserve">q</w:t>
      </w:r>
      <w:r>
        <w:rPr>
          <w:i/>
          <w:iCs/>
          <w:vertAlign w:val="subscript"/>
        </w:rPr>
        <w:t xml:space="preserve">c</w:t>
      </w:r>
      <w:r>
        <w:t xml:space="preserve"> </w:t>
      </w:r>
      <w:r>
        <w:t xml:space="preserve">per click, and has bought</w:t>
      </w:r>
      <w:r>
        <w:t xml:space="preserve"> </w:t>
      </w:r>
      <w:r>
        <w:rPr>
          <w:i/>
          <w:iCs/>
        </w:rPr>
        <w:t xml:space="preserve">Q</w:t>
      </w:r>
      <w:r>
        <w:rPr>
          <w:i/>
          <w:iCs/>
          <w:vertAlign w:val="subscript"/>
        </w:rPr>
        <w:t xml:space="preserve">c</w:t>
      </w:r>
      <w:r>
        <w:t xml:space="preserve"> </w:t>
      </w:r>
      <w:r>
        <w:t xml:space="preserve">impressions. The plan chooses</w:t>
      </w:r>
      <w:r>
        <w:t xml:space="preserve"> </w:t>
      </w:r>
      <w:r>
        <w:rPr>
          <w:i/>
          <w:iCs/>
        </w:rPr>
        <w:t xml:space="preserve">x</w:t>
      </w:r>
      <w:r>
        <w:rPr>
          <w:i/>
          <w:iCs/>
          <w:vertAlign w:val="subscript"/>
        </w:rPr>
        <w:t xml:space="preserve">c,s</w:t>
      </w:r>
      <w:r>
        <w:t xml:space="preserve">, the number of impressions of campaign</w:t>
      </w:r>
      <w:r>
        <w:t xml:space="preserve"> </w:t>
      </w:r>
      <w:r>
        <w:rPr>
          <w:i/>
          <w:iCs/>
        </w:rPr>
        <w:t xml:space="preserve">c</w:t>
      </w:r>
      <w:r>
        <w:t xml:space="preserve"> </w:t>
      </w:r>
      <w:r>
        <w:t xml:space="preserve">allocated to segment</w:t>
      </w:r>
      <w:r>
        <w:t xml:space="preserve"> </w:t>
      </w:r>
      <w:r>
        <w:rPr>
          <w:i/>
          <w:iCs/>
        </w:rPr>
        <w:t xml:space="preserve">s</w:t>
      </w:r>
      <w:r>
        <w:t xml:space="preserve">:</w:t>
      </w:r>
    </w:p>
    <w:p>
      <w:pPr>
        <w:pStyle w:val="BodyText"/>
        <w:jc w:val="both"/>
        <w:keepNext w:val="0"/>
        <w:keepLines w:val="0"/>
        <w:widowControl w:val="1"/>
      </w:pPr>
      <w:r>
        <w:t xml:space="preserve">maximize Σ</w:t>
      </w:r>
      <w:r>
        <w:rPr>
          <w:vertAlign w:val="subscript"/>
        </w:rPr>
        <w:t xml:space="preserve">c,s</w:t>
      </w:r>
      <w:r>
        <w:t xml:space="preserve"> </w:t>
      </w:r>
      <w:r>
        <w:t xml:space="preserve">x</w:t>
      </w:r>
      <w:r>
        <w:rPr>
          <w:vertAlign w:val="subscript"/>
        </w:rPr>
        <w:t xml:space="preserve">c,s</w:t>
      </w:r>
      <w:r>
        <w:t xml:space="preserve"> </w:t>
      </w:r>
      <w:r>
        <w:t xml:space="preserve">· ( r</w:t>
      </w:r>
      <w:r>
        <w:rPr>
          <w:vertAlign w:val="subscript"/>
        </w:rPr>
        <w:t xml:space="preserve">c</w:t>
      </w:r>
      <w:r>
        <w:t xml:space="preserve"> </w:t>
      </w:r>
      <w:r>
        <w:t xml:space="preserve">+ q</w:t>
      </w:r>
      <w:r>
        <w:rPr>
          <w:vertAlign w:val="subscript"/>
        </w:rPr>
        <w:t xml:space="preserve">c</w:t>
      </w:r>
      <w:r>
        <w:t xml:space="preserve"> </w:t>
      </w:r>
      <w:r>
        <w:t xml:space="preserve">· p</w:t>
      </w:r>
      <w:r>
        <w:rPr>
          <w:vertAlign w:val="subscript"/>
        </w:rPr>
        <w:t xml:space="preserve">c,s</w:t>
      </w:r>
      <w:r>
        <w:t xml:space="preserve"> </w:t>
      </w:r>
      <w:r>
        <w:t xml:space="preserve">)</w:t>
      </w:r>
      <w:r>
        <w:t xml:space="preserve"> </w:t>
      </w:r>
      <w:r>
        <w:t xml:space="preserve">subject to Σ</w:t>
      </w:r>
      <w:r>
        <w:rPr>
          <w:vertAlign w:val="subscript"/>
        </w:rPr>
        <w:t xml:space="preserve">c</w:t>
      </w:r>
      <w:r>
        <w:t xml:space="preserve"> </w:t>
      </w:r>
      <w:r>
        <w:t xml:space="preserve">x</w:t>
      </w:r>
      <w:r>
        <w:rPr>
          <w:vertAlign w:val="subscript"/>
        </w:rPr>
        <w:t xml:space="preserve">c,s</w:t>
      </w:r>
      <w:r>
        <w:t xml:space="preserve"> </w:t>
      </w:r>
      <w:r>
        <w:t xml:space="preserve">≤ H</w:t>
      </w:r>
      <w:r>
        <w:rPr>
          <w:vertAlign w:val="subscript"/>
        </w:rPr>
        <w:t xml:space="preserve">s</w:t>
      </w:r>
      <w:r>
        <w:t xml:space="preserve"> </w:t>
      </w:r>
      <w:r>
        <w:t xml:space="preserve">(segment supply)</w:t>
      </w:r>
      <w:r>
        <w:t xml:space="preserve"> </w:t>
      </w:r>
      <w:r>
        <w:t xml:space="preserve">Σ</w:t>
      </w:r>
      <w:r>
        <w:rPr>
          <w:vertAlign w:val="subscript"/>
        </w:rPr>
        <w:t xml:space="preserve">s</w:t>
      </w:r>
      <w:r>
        <w:t xml:space="preserve"> </w:t>
      </w:r>
      <w:r>
        <w:t xml:space="preserve">x</w:t>
      </w:r>
      <w:r>
        <w:rPr>
          <w:vertAlign w:val="subscript"/>
        </w:rPr>
        <w:t xml:space="preserve">c,s</w:t>
      </w:r>
      <w:r>
        <w:t xml:space="preserve"> </w:t>
      </w:r>
      <w:r>
        <w:t xml:space="preserve">≤ Q</w:t>
      </w:r>
      <w:r>
        <w:rPr>
          <w:vertAlign w:val="subscript"/>
        </w:rPr>
        <w:t xml:space="preserve">c</w:t>
      </w:r>
      <w:r>
        <w:t xml:space="preserve"> </w:t>
      </w:r>
      <w:r>
        <w:t xml:space="preserve">(campaign quota)</w:t>
      </w:r>
      <w:r>
        <w:t xml:space="preserve"> </w:t>
      </w:r>
      <w:r>
        <w:t xml:space="preserve">x</w:t>
      </w:r>
      <w:r>
        <w:rPr>
          <w:vertAlign w:val="subscript"/>
        </w:rPr>
        <w:t xml:space="preserve">c,s</w:t>
      </w:r>
      <w:r>
        <w:t xml:space="preserve"> </w:t>
      </w:r>
      <w:r>
        <w:t xml:space="preserve">= 0 where targeting excludes (c, s)</w:t>
      </w:r>
      <w:r>
        <w:t xml:space="preserve"> </w:t>
      </w:r>
      <w:r>
        <w:t xml:space="preserve">x</w:t>
      </w:r>
      <w:r>
        <w:rPr>
          <w:vertAlign w:val="subscript"/>
        </w:rPr>
        <w:t xml:space="preserve">c,s</w:t>
      </w:r>
      <w:r>
        <w:t xml:space="preserve"> </w:t>
      </w:r>
      <w:r>
        <w:t xml:space="preserve">≥ 0</w:t>
      </w:r>
    </w:p>
    <w:p>
      <w:pPr>
        <w:pStyle w:val="BodyText"/>
        <w:jc w:val="both"/>
        <w:keepNext w:val="0"/>
        <w:keepLines w:val="0"/>
        <w:widowControl w:val="1"/>
      </w:pPr>
      <w:r>
        <w:t xml:space="preserve">Figure 1 is this program with two campaigns, four single-subscriber segments,</w:t>
      </w:r>
      <w:r>
        <w:t xml:space="preserve"> </w:t>
      </w:r>
      <w:r>
        <w:rPr>
          <w:i/>
          <w:iCs/>
        </w:rPr>
        <w:t xml:space="preserve">H</w:t>
      </w:r>
      <w:r>
        <w:rPr>
          <w:i/>
          <w:iCs/>
          <w:vertAlign w:val="subscript"/>
        </w:rPr>
        <w:t xml:space="preserve">s</w:t>
      </w:r>
      <w:r>
        <w:t xml:space="preserve"> = 1 and</w:t>
      </w:r>
      <w:r>
        <w:t xml:space="preserve"> </w:t>
      </w:r>
      <w:r>
        <w:rPr>
          <w:i/>
          <w:iCs/>
        </w:rPr>
        <w:t xml:space="preserve">Q</w:t>
      </w:r>
      <w:r>
        <w:rPr>
          <w:i/>
          <w:iCs/>
          <w:vertAlign w:val="subscript"/>
        </w:rPr>
        <w:t xml:space="preserve">c</w:t>
      </w:r>
      <w:r>
        <w:t xml:space="preserve"> = 2. At production scale the same structure holds; the segments are just coarser and the counts larger. Because both objective and constraints are linear, the plan is solvable with off-the-shelf LP solvers (we use the dual simplex of [1]) even for large instances, and, critically, it is solved</w:t>
      </w:r>
      <w:r>
        <w:t xml:space="preserve"> </w:t>
      </w:r>
      <w:r>
        <w:rPr>
          <w:b/>
          <w:bCs/>
        </w:rPr>
        <w:t xml:space="preserve">offline</w:t>
      </w:r>
      <w:r>
        <w:t xml:space="preserve">. The online server never optimizes; it executes a pre-computed plan and corrects for drift.</w:t>
      </w:r>
    </w:p>
    <w:p>
      <w:pPr>
        <w:pStyle w:val="BodyText"/>
        <w:jc w:val="both"/>
        <w:keepNext w:val="0"/>
        <w:keepLines w:val="0"/>
        <w:widowControl w:val="1"/>
      </w:pPr>
      <w:r>
        <w:t xml:space="preserve">Three practical notes. First, the objective prices impressions and clicks separately, so campaigns that pay mostly per impression and campaigns that pay mostly per click compete in one currency, expected revenue; when supply suffices, quotas bind at the optimum (every unit of x earns at least r</w:t>
      </w:r>
      <w:r>
        <w:rPr>
          <w:vertAlign w:val="subscript"/>
        </w:rPr>
        <w:t xml:space="preserve">c</w:t>
      </w:r>
      <w:r>
        <w:t xml:space="preserve"> &gt; 0), and the impression-price term becomes a constant, making the allocation choice a pure expected-clicks problem; Section 6 studies the over-subscribed regime where this simplification fails. Second, the quota appears as an upper bound: when targeting and supply cannot fill a quota, the program returns the revenue-maximal under-delivery rather than infeasibility, and the shortfall is the input to make-good scheduling, which we treat as outside the model. Third, the quota constraint is what makes greedy serving inadequate: without it, serving every impression to its highest-value campaign would be optimal, and no planning stage would be needed.</w:t>
      </w:r>
    </w:p>
    <w:bookmarkStart w:id="16" w:name="Xb8b18ac5c60ec5742410ace98e579bc138671d3"/>
    <w:p>
      <w:pPr>
        <w:pStyle w:val="Heading3"/>
        <w:keepNext/>
        <w:keepLines/>
        <w:widowControl w:val="1"/>
      </w:pPr>
      <w:r>
        <w:t xml:space="preserve">3.1 Interaction invariance under fixed margins</w:t>
      </w:r>
    </w:p>
    <w:p>
      <w:pPr>
        <w:pStyle w:val="FirstParagraph"/>
        <w:jc w:val="both"/>
        <w:keepNext w:val="0"/>
        <w:keepLines w:val="0"/>
        <w:widowControl w:val="1"/>
      </w:pPr>
      <w:r>
        <w:t xml:space="preserve">The value matrix admits an additive decomposition into a campaign main effect, a segment main effect, and an interaction residual,</w:t>
      </w:r>
    </w:p>
    <w:p>
      <w:pPr>
        <w:pStyle w:val="BodyText"/>
        <w:jc w:val="both"/>
        <w:keepNext w:val="0"/>
        <w:keepLines w:val="0"/>
        <w:widowControl w:val="1"/>
      </w:pPr>
      <w:r>
        <w:t xml:space="preserve">v</w:t>
      </w:r>
      <w:r>
        <w:rPr>
          <w:vertAlign w:val="subscript"/>
        </w:rPr>
        <w:t xml:space="preserve">cs</w:t>
      </w:r>
      <w:r>
        <w:t xml:space="preserve"> </w:t>
      </w:r>
      <w:r>
        <w:t xml:space="preserve">= a</w:t>
      </w:r>
      <w:r>
        <w:rPr>
          <w:vertAlign w:val="subscript"/>
        </w:rPr>
        <w:t xml:space="preserve">c</w:t>
      </w:r>
      <w:r>
        <w:t xml:space="preserve"> </w:t>
      </w:r>
      <w:r>
        <w:t xml:space="preserve">+ b</w:t>
      </w:r>
      <w:r>
        <w:rPr>
          <w:vertAlign w:val="subscript"/>
        </w:rPr>
        <w:t xml:space="preserve">s</w:t>
      </w:r>
      <w:r>
        <w:t xml:space="preserve"> </w:t>
      </w:r>
      <w:r>
        <w:t xml:space="preserve">+ g</w:t>
      </w:r>
      <w:r>
        <w:rPr>
          <w:vertAlign w:val="subscript"/>
        </w:rPr>
        <w:t xml:space="preserve">cs</w:t>
      </w:r>
      <w:r>
        <w:t xml:space="preserve">,</w:t>
      </w:r>
    </w:p>
    <w:p>
      <w:pPr>
        <w:pStyle w:val="BodyText"/>
        <w:jc w:val="both"/>
        <w:keepNext w:val="0"/>
        <w:keepLines w:val="0"/>
        <w:widowControl w:val="1"/>
      </w:pPr>
      <w:r>
        <w:t xml:space="preserve">where</w:t>
      </w:r>
      <w:r>
        <w:t xml:space="preserve"> </w:t>
      </w:r>
      <w:r>
        <w:rPr>
          <w:i/>
          <w:iCs/>
        </w:rPr>
        <w:t xml:space="preserve">g</w:t>
      </w:r>
      <w:r>
        <w:t xml:space="preserve"> </w:t>
      </w:r>
      <w:r>
        <w:t xml:space="preserve">is</w:t>
      </w:r>
      <w:r>
        <w:t xml:space="preserve"> </w:t>
      </w:r>
      <w:r>
        <w:rPr>
          <w:b/>
          <w:bCs/>
        </w:rPr>
        <w:t xml:space="preserve">double-centered</w:t>
      </w:r>
      <w:r>
        <w:t xml:space="preserve">: its supply-weighted average over segments is zero for every campaign, and over campaigns is zero for every segment. This decomposition is unique and always exists;</w:t>
      </w:r>
      <w:r>
        <w:t xml:space="preserve"> </w:t>
      </w:r>
      <w:r>
        <w:rPr>
          <w:i/>
          <w:iCs/>
        </w:rPr>
        <w:t xml:space="preserve">a</w:t>
      </w:r>
      <w:r>
        <w:rPr>
          <w:i/>
          <w:iCs/>
          <w:vertAlign w:val="subscript"/>
        </w:rPr>
        <w:t xml:space="preserve">c</w:t>
      </w:r>
      <w:r>
        <w:t xml:space="preserve"> </w:t>
      </w:r>
      <w:r>
        <w:t xml:space="preserve">is campaign</w:t>
      </w:r>
      <w:r>
        <w:t xml:space="preserve"> </w:t>
      </w:r>
      <w:r>
        <w:rPr>
          <w:i/>
          <w:iCs/>
        </w:rPr>
        <w:t xml:space="preserve">c</w:t>
      </w:r>
      <w:r>
        <w:t xml:space="preserve">’s average value,</w:t>
      </w:r>
      <w:r>
        <w:t xml:space="preserve"> </w:t>
      </w:r>
      <w:r>
        <w:rPr>
          <w:i/>
          <w:iCs/>
        </w:rPr>
        <w:t xml:space="preserve">b</w:t>
      </w:r>
      <w:r>
        <w:rPr>
          <w:i/>
          <w:iCs/>
          <w:vertAlign w:val="subscript"/>
        </w:rPr>
        <w:t xml:space="preserve">s</w:t>
      </w:r>
      <w:r>
        <w:t xml:space="preserve"> </w:t>
      </w:r>
      <w:r>
        <w:t xml:space="preserve">segment</w:t>
      </w:r>
      <w:r>
        <w:t xml:space="preserve"> </w:t>
      </w:r>
      <w:r>
        <w:rPr>
          <w:i/>
          <w:iCs/>
        </w:rPr>
        <w:t xml:space="preserve">s</w:t>
      </w:r>
      <w:r>
        <w:t xml:space="preserve">’s deviation, and</w:t>
      </w:r>
      <w:r>
        <w:t xml:space="preserve"> </w:t>
      </w:r>
      <w:r>
        <w:rPr>
          <w:i/>
          <w:iCs/>
        </w:rPr>
        <w:t xml:space="preserve">g</w:t>
      </w:r>
      <w:r>
        <w:rPr>
          <w:i/>
          <w:iCs/>
          <w:vertAlign w:val="subscript"/>
        </w:rPr>
        <w:t xml:space="preserve">cs</w:t>
      </w:r>
      <w:r>
        <w:t xml:space="preserve"> </w:t>
      </w:r>
      <w:r>
        <w:t xml:space="preserve">the part of the value specific to the pairing. The following fact is the paper’s conceptual backbone.</w:t>
      </w:r>
    </w:p>
    <w:p>
      <w:pPr>
        <w:pStyle w:val="BodyText"/>
        <w:jc w:val="both"/>
        <w:keepNext w:val="0"/>
        <w:keepLines w:val="0"/>
        <w:widowControl w:val="1"/>
      </w:pPr>
      <w:r>
        <w:rPr>
          <w:b/>
          <w:bCs/>
        </w:rPr>
        <w:t xml:space="preserve">Proposition 1 (interaction invariance).</w:t>
      </w:r>
      <w:r>
        <w:t xml:space="preserve"> </w:t>
      </w:r>
      <w:r>
        <w:t xml:space="preserve">Let</w:t>
      </w:r>
      <w:r>
        <w:t xml:space="preserve"> </w:t>
      </w:r>
      <w:r>
        <w:rPr>
          <w:i/>
          <w:iCs/>
        </w:rPr>
        <w:t xml:space="preserve">x</w:t>
      </w:r>
      <w:r>
        <w:t xml:space="preserve"> </w:t>
      </w:r>
      <w:r>
        <w:t xml:space="preserve">and</w:t>
      </w:r>
      <w:r>
        <w:t xml:space="preserve"> </w:t>
      </w:r>
      <w:r>
        <w:rPr>
          <w:i/>
          <w:iCs/>
        </w:rPr>
        <w:t xml:space="preserve">x′</w:t>
      </w:r>
      <w:r>
        <w:t xml:space="preserve"> </w:t>
      </w:r>
      <w:r>
        <w:t xml:space="preserve">be any two feasible allocations with identical campaign margins (Σ</w:t>
      </w:r>
      <w:r>
        <w:rPr>
          <w:vertAlign w:val="subscript"/>
        </w:rPr>
        <w:t xml:space="preserve">s</w:t>
      </w:r>
      <w:r>
        <w:t xml:space="preserve"> </w:t>
      </w:r>
      <w:r>
        <w:t xml:space="preserve">x</w:t>
      </w:r>
      <w:r>
        <w:rPr>
          <w:vertAlign w:val="subscript"/>
        </w:rPr>
        <w:t xml:space="preserve">c,s</w:t>
      </w:r>
      <w:r>
        <w:t xml:space="preserve"> </w:t>
      </w:r>
      <w:r>
        <w:t xml:space="preserve">= Σ</w:t>
      </w:r>
      <w:r>
        <w:rPr>
          <w:vertAlign w:val="subscript"/>
        </w:rPr>
        <w:t xml:space="preserve">s</w:t>
      </w:r>
      <w:r>
        <w:t xml:space="preserve"> </w:t>
      </w:r>
      <w:r>
        <w:t xml:space="preserve">x′</w:t>
      </w:r>
      <w:r>
        <w:rPr>
          <w:vertAlign w:val="subscript"/>
        </w:rPr>
        <w:t xml:space="preserve">c,s</w:t>
      </w:r>
      <w:r>
        <w:t xml:space="preserve"> </w:t>
      </w:r>
      <w:r>
        <w:t xml:space="preserve">for every</w:t>
      </w:r>
      <w:r>
        <w:t xml:space="preserve"> </w:t>
      </w:r>
      <w:r>
        <w:rPr>
          <w:i/>
          <w:iCs/>
        </w:rPr>
        <w:t xml:space="preserve">c</w:t>
      </w:r>
      <w:r>
        <w:t xml:space="preserve">) and identical segment margins (Σ</w:t>
      </w:r>
      <w:r>
        <w:rPr>
          <w:vertAlign w:val="subscript"/>
        </w:rPr>
        <w:t xml:space="preserve">c</w:t>
      </w:r>
      <w:r>
        <w:t xml:space="preserve"> </w:t>
      </w:r>
      <w:r>
        <w:t xml:space="preserve">x</w:t>
      </w:r>
      <w:r>
        <w:rPr>
          <w:vertAlign w:val="subscript"/>
        </w:rPr>
        <w:t xml:space="preserve">c,s</w:t>
      </w:r>
      <w:r>
        <w:t xml:space="preserve"> </w:t>
      </w:r>
      <w:r>
        <w:t xml:space="preserve">= Σ</w:t>
      </w:r>
      <w:r>
        <w:rPr>
          <w:vertAlign w:val="subscript"/>
        </w:rPr>
        <w:t xml:space="preserve">c</w:t>
      </w:r>
      <w:r>
        <w:t xml:space="preserve"> </w:t>
      </w:r>
      <w:r>
        <w:t xml:space="preserve">x′</w:t>
      </w:r>
      <w:r>
        <w:rPr>
          <w:vertAlign w:val="subscript"/>
        </w:rPr>
        <w:t xml:space="preserve">c,s</w:t>
      </w:r>
      <w:r>
        <w:t xml:space="preserve"> </w:t>
      </w:r>
      <w:r>
        <w:t xml:space="preserve">for every</w:t>
      </w:r>
      <w:r>
        <w:t xml:space="preserve"> </w:t>
      </w:r>
      <w:r>
        <w:rPr>
          <w:i/>
          <w:iCs/>
        </w:rPr>
        <w:t xml:space="preserve">s</w:t>
      </w:r>
      <w:r>
        <w:t xml:space="preserve">). Then their values differ only through the interaction term:</w:t>
      </w:r>
    </w:p>
    <w:p>
      <w:pPr>
        <w:pStyle w:val="BodyText"/>
        <w:jc w:val="both"/>
        <w:keepNext w:val="0"/>
        <w:keepLines w:val="0"/>
        <w:widowControl w:val="1"/>
      </w:pPr>
      <w:r>
        <w:t xml:space="preserve">V(x) − V(x′) = Σ</w:t>
      </w:r>
      <w:r>
        <w:rPr>
          <w:vertAlign w:val="subscript"/>
        </w:rPr>
        <w:t xml:space="preserve">c,s</w:t>
      </w:r>
      <w:r>
        <w:t xml:space="preserve"> </w:t>
      </w:r>
      <w:r>
        <w:t xml:space="preserve">( x</w:t>
      </w:r>
      <w:r>
        <w:rPr>
          <w:vertAlign w:val="subscript"/>
        </w:rPr>
        <w:t xml:space="preserve">c,s</w:t>
      </w:r>
      <w:r>
        <w:t xml:space="preserve"> </w:t>
      </w:r>
      <w:r>
        <w:t xml:space="preserve">− x′</w:t>
      </w:r>
      <w:r>
        <w:rPr>
          <w:vertAlign w:val="subscript"/>
        </w:rPr>
        <w:t xml:space="preserve">c,s</w:t>
      </w:r>
      <w:r>
        <w:t xml:space="preserve"> </w:t>
      </w:r>
      <w:r>
        <w:t xml:space="preserve">) · g</w:t>
      </w:r>
      <w:r>
        <w:rPr>
          <w:vertAlign w:val="subscript"/>
        </w:rPr>
        <w:t xml:space="preserve">c,s</w:t>
      </w:r>
      <w:r>
        <w:t xml:space="preserve">.</w:t>
      </w:r>
    </w:p>
    <w:p>
      <w:pPr>
        <w:pStyle w:val="BodyText"/>
        <w:jc w:val="both"/>
        <w:keepNext w:val="0"/>
        <w:keepLines w:val="0"/>
        <w:widowControl w:val="1"/>
      </w:pPr>
      <w:r>
        <w:rPr>
          <w:b/>
          <w:bCs/>
        </w:rPr>
        <w:t xml:space="preserve">Proof.</w:t>
      </w:r>
      <w:r>
        <w:t xml:space="preserve"> </w:t>
      </w:r>
      <w:r>
        <w:t xml:space="preserve">Expanding the objective, V(x) = Σ</w:t>
      </w:r>
      <w:r>
        <w:rPr>
          <w:vertAlign w:val="subscript"/>
        </w:rPr>
        <w:t xml:space="preserve">c</w:t>
      </w:r>
      <w:r>
        <w:t xml:space="preserve"> </w:t>
      </w:r>
      <w:r>
        <w:t xml:space="preserve">a</w:t>
      </w:r>
      <w:r>
        <w:rPr>
          <w:vertAlign w:val="subscript"/>
        </w:rPr>
        <w:t xml:space="preserve">c</w:t>
      </w:r>
      <w:r>
        <w:t xml:space="preserve"> </w:t>
      </w:r>
      <w:r>
        <w:t xml:space="preserve">(Σ</w:t>
      </w:r>
      <w:r>
        <w:rPr>
          <w:vertAlign w:val="subscript"/>
        </w:rPr>
        <w:t xml:space="preserve">s</w:t>
      </w:r>
      <w:r>
        <w:t xml:space="preserve"> </w:t>
      </w:r>
      <w:r>
        <w:t xml:space="preserve">x</w:t>
      </w:r>
      <w:r>
        <w:rPr>
          <w:vertAlign w:val="subscript"/>
        </w:rPr>
        <w:t xml:space="preserve">c,s</w:t>
      </w:r>
      <w:r>
        <w:t xml:space="preserve">) + Σ</w:t>
      </w:r>
      <w:r>
        <w:rPr>
          <w:vertAlign w:val="subscript"/>
        </w:rPr>
        <w:t xml:space="preserve">s</w:t>
      </w:r>
      <w:r>
        <w:t xml:space="preserve"> </w:t>
      </w:r>
      <w:r>
        <w:t xml:space="preserve">b</w:t>
      </w:r>
      <w:r>
        <w:rPr>
          <w:vertAlign w:val="subscript"/>
        </w:rPr>
        <w:t xml:space="preserve">s</w:t>
      </w:r>
      <w:r>
        <w:t xml:space="preserve"> </w:t>
      </w:r>
      <w:r>
        <w:t xml:space="preserve">(Σ</w:t>
      </w:r>
      <w:r>
        <w:rPr>
          <w:vertAlign w:val="subscript"/>
        </w:rPr>
        <w:t xml:space="preserve">c</w:t>
      </w:r>
      <w:r>
        <w:t xml:space="preserve"> </w:t>
      </w:r>
      <w:r>
        <w:t xml:space="preserve">x</w:t>
      </w:r>
      <w:r>
        <w:rPr>
          <w:vertAlign w:val="subscript"/>
        </w:rPr>
        <w:t xml:space="preserve">c,s</w:t>
      </w:r>
      <w:r>
        <w:t xml:space="preserve">) + Σ</w:t>
      </w:r>
      <w:r>
        <w:rPr>
          <w:vertAlign w:val="subscript"/>
        </w:rPr>
        <w:t xml:space="preserve">c,s</w:t>
      </w:r>
      <w:r>
        <w:t xml:space="preserve"> </w:t>
      </w:r>
      <w:r>
        <w:t xml:space="preserve">x</w:t>
      </w:r>
      <w:r>
        <w:rPr>
          <w:vertAlign w:val="subscript"/>
        </w:rPr>
        <w:t xml:space="preserve">c,s</w:t>
      </w:r>
      <w:r>
        <w:t xml:space="preserve"> </w:t>
      </w:r>
      <w:r>
        <w:t xml:space="preserve">g</w:t>
      </w:r>
      <w:r>
        <w:rPr>
          <w:vertAlign w:val="subscript"/>
        </w:rPr>
        <w:t xml:space="preserve">c,s</w:t>
      </w:r>
      <w:r>
        <w:t xml:space="preserve">. The first sum depends on</w:t>
      </w:r>
      <w:r>
        <w:t xml:space="preserve"> </w:t>
      </w:r>
      <w:r>
        <w:rPr>
          <w:i/>
          <w:iCs/>
        </w:rPr>
        <w:t xml:space="preserve">x</w:t>
      </w:r>
      <w:r>
        <w:t xml:space="preserve"> </w:t>
      </w:r>
      <w:r>
        <w:t xml:space="preserve">only through the campaign margins, the second only through the segment margins; both are held fixed, so they are equal for</w:t>
      </w:r>
      <w:r>
        <w:t xml:space="preserve"> </w:t>
      </w:r>
      <w:r>
        <w:rPr>
          <w:i/>
          <w:iCs/>
        </w:rPr>
        <w:t xml:space="preserve">x</w:t>
      </w:r>
      <w:r>
        <w:t xml:space="preserve"> </w:t>
      </w:r>
      <w:r>
        <w:t xml:space="preserve">and</w:t>
      </w:r>
      <w:r>
        <w:t xml:space="preserve"> </w:t>
      </w:r>
      <w:r>
        <w:rPr>
          <w:i/>
          <w:iCs/>
        </w:rPr>
        <w:t xml:space="preserve">x′</w:t>
      </w:r>
      <w:r>
        <w:t xml:space="preserve"> </w:t>
      </w:r>
      <w:r>
        <w:t xml:space="preserve">and cancel on subtraction. Only the interaction term remains. □</w:t>
      </w:r>
    </w:p>
    <w:p>
      <w:pPr>
        <w:pStyle w:val="BodyText"/>
        <w:jc w:val="both"/>
        <w:keepNext w:val="0"/>
        <w:keepLines w:val="0"/>
        <w:widowControl w:val="1"/>
      </w:pPr>
      <w:r>
        <w:t xml:space="preserve">The consequence is that</w:t>
      </w:r>
      <w:r>
        <w:t xml:space="preserve"> </w:t>
      </w:r>
      <w:r>
        <w:rPr>
          <w:b/>
          <w:bCs/>
        </w:rPr>
        <w:t xml:space="preserve">representation choice for allocation should target the stable interaction component, not marginal click-rate predictiveness</w:t>
      </w:r>
      <w:r>
        <w:t xml:space="preserve">: a segmentation that sharpens the estimates of</w:t>
      </w:r>
      <w:r>
        <w:t xml:space="preserve"> </w:t>
      </w:r>
      <w:r>
        <w:rPr>
          <w:i/>
          <w:iCs/>
        </w:rPr>
        <w:t xml:space="preserve">a</w:t>
      </w:r>
      <w:r>
        <w:rPr>
          <w:i/>
          <w:iCs/>
          <w:vertAlign w:val="subscript"/>
        </w:rPr>
        <w:t xml:space="preserve">c</w:t>
      </w:r>
      <w:r>
        <w:t xml:space="preserve"> </w:t>
      </w:r>
      <w:r>
        <w:t xml:space="preserve">and</w:t>
      </w:r>
      <w:r>
        <w:t xml:space="preserve"> </w:t>
      </w:r>
      <w:r>
        <w:rPr>
          <w:i/>
          <w:iCs/>
        </w:rPr>
        <w:t xml:space="preserve">b</w:t>
      </w:r>
      <w:r>
        <w:rPr>
          <w:i/>
          <w:iCs/>
          <w:vertAlign w:val="subscript"/>
        </w:rPr>
        <w:t xml:space="preserve">s</w:t>
      </w:r>
      <w:r>
        <w:t xml:space="preserve"> </w:t>
      </w:r>
      <w:r>
        <w:t xml:space="preserve">but not of</w:t>
      </w:r>
      <w:r>
        <w:t xml:space="preserve"> </w:t>
      </w:r>
      <w:r>
        <w:rPr>
          <w:i/>
          <w:iCs/>
        </w:rPr>
        <w:t xml:space="preserve">g</w:t>
      </w:r>
      <w:r>
        <w:rPr>
          <w:i/>
          <w:iCs/>
          <w:vertAlign w:val="subscript"/>
        </w:rPr>
        <w:t xml:space="preserve">cs</w:t>
      </w:r>
      <w:r>
        <w:t xml:space="preserve"> </w:t>
      </w:r>
      <w:r>
        <w:t xml:space="preserve">cannot change a fixed-margin assignment, however much it improves overall CTR prediction. Section 5 turns this into a selection rule. Four corollaries fix the scope precisely.</w:t>
      </w:r>
    </w:p>
    <w:p>
      <w:pPr>
        <w:pStyle w:val="Compact"/>
        <w:numPr>
          <w:ilvl w:val="0"/>
          <w:numId w:val="1001"/>
        </w:numPr>
        <w:ind w:left="360" w:hanging="259"/>
        <w:jc w:val="both"/>
        <w:keepNext w:val="0"/>
        <w:keepLines w:val="0"/>
        <w:widowControl w:val="1"/>
      </w:pPr>
      <w:r>
        <w:rPr>
          <w:b/>
          <w:bCs/>
        </w:rPr>
        <w:t xml:space="preserve">Click maximization.</w:t>
      </w:r>
      <w:r>
        <w:t xml:space="preserve"> </w:t>
      </w:r>
      <w:r>
        <w:t xml:space="preserve">With</w:t>
      </w:r>
      <w:r>
        <w:t xml:space="preserve"> </w:t>
      </w:r>
      <w:r>
        <w:rPr>
          <w:i/>
          <w:iCs/>
        </w:rPr>
        <w:t xml:space="preserve">v</w:t>
      </w:r>
      <w:r>
        <w:rPr>
          <w:i/>
          <w:iCs/>
          <w:vertAlign w:val="subscript"/>
        </w:rPr>
        <w:t xml:space="preserve">cs</w:t>
      </w:r>
      <w:r>
        <w:rPr>
          <w:i/>
          <w:iCs/>
        </w:rPr>
        <w:t xml:space="preserve"> </w:t>
      </w:r>
      <w:r>
        <w:rPr>
          <w:i/>
          <w:iCs/>
        </w:rPr>
        <w:t xml:space="preserve">= p</w:t>
      </w:r>
      <w:r>
        <w:rPr>
          <w:i/>
          <w:iCs/>
          <w:vertAlign w:val="subscript"/>
        </w:rPr>
        <w:t xml:space="preserve">cs</w:t>
      </w:r>
      <w:r>
        <w:t xml:space="preserve">, the entire allocation value under fixed margins is carried by the interaction of click probability; campaign and segment average click rates are decision-irrelevant.</w:t>
      </w:r>
    </w:p>
    <w:p>
      <w:pPr>
        <w:pStyle w:val="Compact"/>
        <w:numPr>
          <w:ilvl w:val="0"/>
          <w:numId w:val="1001"/>
        </w:numPr>
        <w:ind w:left="360" w:hanging="259"/>
        <w:jc w:val="both"/>
        <w:keepNext w:val="0"/>
        <w:keepLines w:val="0"/>
        <w:widowControl w:val="1"/>
      </w:pPr>
      <w:r>
        <w:rPr>
          <w:b/>
          <w:bCs/>
        </w:rPr>
        <w:t xml:space="preserve">Fixed per-impression contract value.</w:t>
      </w:r>
      <w:r>
        <w:t xml:space="preserve"> </w:t>
      </w:r>
      <w:r>
        <w:t xml:space="preserve">When campaign</w:t>
      </w:r>
      <w:r>
        <w:t xml:space="preserve"> </w:t>
      </w:r>
      <w:r>
        <w:rPr>
          <w:i/>
          <w:iCs/>
        </w:rPr>
        <w:t xml:space="preserve">c</w:t>
      </w:r>
      <w:r>
        <w:t xml:space="preserve"> </w:t>
      </w:r>
      <w:r>
        <w:t xml:space="preserve">pays a fixed</w:t>
      </w:r>
      <w:r>
        <w:t xml:space="preserve"> </w:t>
      </w:r>
      <w:r>
        <w:rPr>
          <w:i/>
          <w:iCs/>
        </w:rPr>
        <w:t xml:space="preserve">r</w:t>
      </w:r>
      <w:r>
        <w:rPr>
          <w:i/>
          <w:iCs/>
          <w:vertAlign w:val="subscript"/>
        </w:rPr>
        <w:t xml:space="preserve">c</w:t>
      </w:r>
      <w:r>
        <w:t xml:space="preserve"> </w:t>
      </w:r>
      <w:r>
        <w:t xml:space="preserve">per delivered impression, that revenue contributes Σ</w:t>
      </w:r>
      <w:r>
        <w:rPr>
          <w:vertAlign w:val="subscript"/>
        </w:rPr>
        <w:t xml:space="preserve">c</w:t>
      </w:r>
      <w:r>
        <w:t xml:space="preserve"> </w:t>
      </w:r>
      <w:r>
        <w:t xml:space="preserve">r</w:t>
      </w:r>
      <w:r>
        <w:rPr>
          <w:vertAlign w:val="subscript"/>
        </w:rPr>
        <w:t xml:space="preserve">c</w:t>
      </w:r>
      <w:r>
        <w:t xml:space="preserve"> </w:t>
      </w:r>
      <w:r>
        <w:t xml:space="preserve">Q</w:t>
      </w:r>
      <w:r>
        <w:rPr>
          <w:vertAlign w:val="subscript"/>
        </w:rPr>
        <w:t xml:space="preserve">c</w:t>
      </w:r>
      <w:r>
        <w:t xml:space="preserve">, a constant under fixed campaign margins, and the allocation reduces to the expected-clicks problem, as noted above.</w:t>
      </w:r>
    </w:p>
    <w:p>
      <w:pPr>
        <w:pStyle w:val="Compact"/>
        <w:numPr>
          <w:ilvl w:val="0"/>
          <w:numId w:val="1001"/>
        </w:numPr>
        <w:ind w:left="360" w:hanging="259"/>
        <w:jc w:val="both"/>
        <w:keepNext w:val="0"/>
        <w:keepLines w:val="0"/>
        <w:widowControl w:val="1"/>
      </w:pPr>
      <w:r>
        <w:rPr>
          <w:b/>
          <w:bCs/>
        </w:rPr>
        <w:t xml:space="preserve">Slack margins.</w:t>
      </w:r>
      <w:r>
        <w:t xml:space="preserve"> </w:t>
      </w:r>
      <w:r>
        <w:t xml:space="preserve">Segment margins are fixed by the arriving stream (supply is exogenous and identical across policies), so the segment main effect always cancels. If campaign quotas do not all bind, campaign totals differ between allocations and the campaign main effect re-enters, bounded by |V(x)−V(x′) − interaction term| ≤ ‖a‖</w:t>
      </w:r>
      <w:r>
        <w:rPr>
          <w:vertAlign w:val="subscript"/>
        </w:rPr>
        <w:t xml:space="preserve">∞</w:t>
      </w:r>
      <w:r>
        <w:t xml:space="preserve"> </w:t>
      </w:r>
      <w:r>
        <w:t xml:space="preserve">· ‖ΔQ‖</w:t>
      </w:r>
      <w:r>
        <w:rPr>
          <w:vertAlign w:val="subscript"/>
        </w:rPr>
        <w:t xml:space="preserve">1</w:t>
      </w:r>
      <w:r>
        <w:t xml:space="preserve">, where ΔQ is the difference in delivered campaign totals. Interaction invariance is therefore exact under full delivery and degrades gracefully with the delivery gap.</w:t>
      </w:r>
    </w:p>
    <w:p>
      <w:pPr>
        <w:pStyle w:val="Compact"/>
        <w:numPr>
          <w:ilvl w:val="0"/>
          <w:numId w:val="1001"/>
        </w:numPr>
        <w:ind w:left="360" w:hanging="259"/>
        <w:jc w:val="both"/>
        <w:keepNext w:val="0"/>
        <w:keepLines w:val="0"/>
        <w:widowControl w:val="1"/>
      </w:pPr>
      <w:r>
        <w:rPr>
          <w:b/>
          <w:bCs/>
        </w:rPr>
        <w:t xml:space="preserve">Over-subscription.</w:t>
      </w:r>
      <w:r>
        <w:t xml:space="preserve"> </w:t>
      </w:r>
      <w:r>
        <w:t xml:space="preserve">When quotas exceed deliverable supply, campaign totals become endogenous, the bound above is loose, and a policy must decide which campaigns to under-deliver; the full objective (including</w:t>
      </w:r>
      <w:r>
        <w:t xml:space="preserve"> </w:t>
      </w:r>
      <w:r>
        <w:rPr>
          <w:i/>
          <w:iCs/>
        </w:rPr>
        <w:t xml:space="preserve">r</w:t>
      </w:r>
      <w:r>
        <w:rPr>
          <w:i/>
          <w:iCs/>
          <w:vertAlign w:val="subscript"/>
        </w:rPr>
        <w:t xml:space="preserve">c</w:t>
      </w:r>
      <w:r>
        <w:t xml:space="preserve"> </w:t>
      </w:r>
      <w:r>
        <w:t xml:space="preserve">and any under-delivery penalty) governs, and interaction invariance no longer applies. This is exactly the regime the contention experiments of Section 6 probe, and it is why policy orderings there differ from the feasible case.</w:t>
      </w:r>
    </w:p>
    <w:bookmarkEnd w:id="16"/>
    <w:bookmarkEnd w:id="17"/>
    <w:bookmarkStart w:id="19" w:name="replay-evaluation-protocol"/>
    <w:p>
      <w:pPr>
        <w:pStyle w:val="Heading2"/>
        <w:keepNext/>
        <w:keepLines/>
        <w:widowControl w:val="1"/>
      </w:pPr>
      <w:r>
        <w:t xml:space="preserve">4</w:t>
      </w:r>
      <w:r>
        <w:t xml:space="preserve"> </w:t>
      </w:r>
      <w:r>
        <w:t xml:space="preserve">Replay evaluation protocol</w:t>
      </w:r>
    </w:p>
    <w:p>
      <w:pPr>
        <w:pStyle w:val="FirstParagraph"/>
        <w:jc w:val="both"/>
        <w:keepNext w:val="0"/>
        <w:keepLines w:val="0"/>
        <w:widowControl w:val="1"/>
      </w:pPr>
      <w:r>
        <w:t xml:space="preserve">A synthetic market controls everything (Section 7); real logs control nothing, which is the point. The core experiments replay the public Taobao display-advertising dataset [2, 3]: 26.6 million impressions over 8 days in May 2017, roughly 1.1 million users with declared demographics, and explicit campaign identifiers, an in-vertical commerce-media log rather than a distant analog to an operator’s data (Sections 5 and 6 add Avazu and Outbrain as the churn and contention boundaries). The market is reconstructed from the log itself: campaigns are the top 100 by planning-window volume, each campaign’s quota is the number of impressions it actually received in the serving window, and policies re-pair the identical impression stream, so the counterfactual is</w:t>
      </w:r>
      <w:r>
        <w:t xml:space="preserve"> </w:t>
      </w:r>
      <w:r>
        <w:rPr>
          <w:i/>
          <w:iCs/>
        </w:rPr>
        <w:t xml:space="preserve">the same inventory, re-allocated</w:t>
      </w:r>
      <w:r>
        <w:t xml:space="preserve">.</w:t>
      </w:r>
    </w:p>
    <w:p>
      <w:pPr>
        <w:pStyle w:val="BodyText"/>
        <w:jc w:val="both"/>
        <w:keepNext w:val="0"/>
        <w:keepLines w:val="0"/>
        <w:widowControl w:val="1"/>
      </w:pPr>
      <w:r>
        <w:t xml:space="preserve">Replay evaluation has a trap. If the table of click probabilities that the planner optimizes also scores the outcome, both the plan and the bound harvest the table’s estimation noise: in our first run the measured lift was +8.9% while the mean assignment value exceeded the best campaign’s true click rate, an impossibility. The design that survives this is</w:t>
      </w:r>
      <w:r>
        <w:t xml:space="preserve"> </w:t>
      </w:r>
      <w:r>
        <w:rPr>
          <w:b/>
          <w:bCs/>
        </w:rPr>
        <w:t xml:space="preserve">dual-model scoring</w:t>
      </w:r>
      <w:r>
        <w:t xml:space="preserve">: policies plan and serve using only planning-window estimates, while all values, including the hindsight bound, are scored under an independent table fitted on the serving window. A uniform-probability control run then yields exactly 0.0% lift with every policy at exactly 100% of the bound. This is a mechanical identity, not an empirical finding: by Proposition 1, a scorer constant across segments carries no interaction, so under fixed quotas every feasible assignment scores equally, and the control confirms the harness contains no implementation path that manufactures lift from a flat table. Evaluation is</w:t>
      </w:r>
      <w:r>
        <w:t xml:space="preserve"> </w:t>
      </w:r>
      <w:r>
        <w:rPr>
          <w:b/>
          <w:bCs/>
        </w:rPr>
        <w:t xml:space="preserve">walk-forward</w:t>
      </w:r>
      <w:r>
        <w:t xml:space="preserve">: for each of five serving days, the plan is fitted on all prior days and scored on that day alone. The adaptive baseline is fully specified: a dual-price pacing policy that serves the quota-remaining campaign maximizing p̂</w:t>
      </w:r>
      <w:r>
        <w:rPr>
          <w:vertAlign w:val="subscript"/>
        </w:rPr>
        <w:t xml:space="preserve">cs</w:t>
      </w:r>
      <w:r>
        <w:t xml:space="preserve"> − μ</w:t>
      </w:r>
      <w:r>
        <w:rPr>
          <w:vertAlign w:val="subscript"/>
        </w:rPr>
        <w:t xml:space="preserve">c</w:t>
      </w:r>
      <w:r>
        <w:t xml:space="preserve">, updating μ</w:t>
      </w:r>
      <w:r>
        <w:rPr>
          <w:vertAlign w:val="subscript"/>
        </w:rPr>
        <w:t xml:space="preserve">c</w:t>
      </w:r>
      <w:r>
        <w:t xml:space="preserve"> ← μ</w:t>
      </w:r>
      <w:r>
        <w:rPr>
          <w:vertAlign w:val="subscript"/>
        </w:rPr>
        <w:t xml:space="preserve">c</w:t>
      </w:r>
      <w:r>
        <w:t xml:space="preserve"> + η(served</w:t>
      </w:r>
      <w:r>
        <w:rPr>
          <w:vertAlign w:val="subscript"/>
        </w:rPr>
        <w:t xml:space="preserve">c</w:t>
      </w:r>
      <w:r>
        <w:t xml:space="preserve">/Q</w:t>
      </w:r>
      <w:r>
        <w:rPr>
          <w:vertAlign w:val="subscript"/>
        </w:rPr>
        <w:t xml:space="preserve">c</w:t>
      </w:r>
      <w:r>
        <w:t xml:space="preserve"> − t/T) after each impression with η set to half the global click rate; it consults no plan. Reported errors are the scoring table’s closed-form binomial variance propagated through each comparison’s assignment difference; the across-fold spread of the five per-fold lifts independently reproduces the same standard error, and the all-folds-positive sign pattern supports the parametric statement distribution-free. The uniform control defends the harness; a further check defends the scorer itself: standardizing the scoring table along the strongest observable within-cell covariate the segmentation does not use (each user’s own training-window click propensity) shifts the headline lifts by at most +0.3pp, upward, so observable within-cell selection in the logged exposures does not account for the measured gains. Support is also measured directly: only 6% of the planned policy’s assignment mass (and 5% of the re-paired mass) lands in cells with fewer than 100 logged serving-window impressions, and scoring those thin cells with a pooled campaign-level fallback moves the headline from +3.46% to +2.99%; the counterfactual rests almost entirely on well-supported cells. (Forcing the fallback on all cells below 1,000 impressions, 78% of the mass, collapses the lift toward zero, as it must: a campaign-constant scorer deletes the interaction dimension, and under fixed quotas every assignment then scores equally, the same argument as the uniform control.) The replay isolates the architecture’s allocation core, plan against serving policy at segment granularity: every campaign is eligible on every segment, and the per-subscriber serving components of Appendix A.2 (soft-membership blending, frequency caps, threshold pacing) operate below this granularity and are not exercised by these experiments.</w:t>
      </w:r>
    </w:p>
    <w:bookmarkStart w:id="18" w:name="X888dfabe7f5ac870af14768d223c176646b6318"/>
    <w:p>
      <w:pPr>
        <w:pStyle w:val="Heading3"/>
        <w:keepNext/>
        <w:keepLines/>
        <w:widowControl w:val="1"/>
      </w:pPr>
      <w:r>
        <w:t xml:space="preserve">4.1</w:t>
      </w:r>
      <w:r>
        <w:t xml:space="preserve"> </w:t>
      </w:r>
      <w:r>
        <w:t xml:space="preserve">Does model-scored replay recover the truth?</w:t>
      </w:r>
    </w:p>
    <w:p>
      <w:pPr>
        <w:pStyle w:val="FirstParagraph"/>
        <w:jc w:val="both"/>
        <w:keepNext w:val="0"/>
        <w:keepLines w:val="0"/>
        <w:widowControl w:val="1"/>
      </w:pPr>
      <w:r>
        <w:t xml:space="preserve">Real logs cannot say whether the model-scored lifts equal the counterfactual truth, because the truth is unobserved. A semi-synthetic benchmark can. We build a world where the response is known: on a slice disjoint from all reported experiments (Taobao days 6–8) we fit a shrunk (campaign, segment) click surface, amplify its double-centered interaction by a factor κ so policies genuinely differ, and freeze the result as a ground-truth θ</w:t>
      </w:r>
      <w:r>
        <w:rPr>
          <w:vertAlign w:val="subscript"/>
        </w:rPr>
        <w:t xml:space="preserve">cs</w:t>
      </w:r>
      <w:r>
        <w:t xml:space="preserve">. The logging policy is the real exposure pattern; clicks are then sampled ∼ Bernoulli(θ) on the real exposures to fit a planning table (days 9–11) and an independent scoring table (days 12–13), so both tables carry realistic estimation noise and θ itself never scores anything the planner sees. Five policies (greedy, static plan, periodic re-solve, fixed optimal dual, entropic Dual Mirror Descent) then replay the day 12–13 stream, and each assignment is scored twice: under the noisy table, exactly as the paper reports, and under θ, which only this controlled setting makes available. At realistic interaction strength the model-scored replay recovers the decision that matters: every strong policy is correctly separated from greedy, the model-scored ranking matches the true ranking (Spearman 1.00 at κ=1.0, 0.90 at κ=1.5), the model selects the truly best policy in both cases, and the estimated greedy-relative lift sits within about 1.4 percentage points of its true value. The limit is also visible: when the interaction is amplified beyond the level seen in the real data (κ=2.0), the top policies bunch within roughly 0.3 points of one another under the true response, and the noisy table reorders those near-ties (Spearman 0.70), selecting the entropic dual over the static plan when the plan is in fact marginally better. Model-scored replay is therefore trustworthy for the claims this paper makes, which separate a strong tier from greedy and identify a robust re-solve or plan policy, and it should not be read as resolving fine differences among near-tied top policies. The recovery does not depend on a benign logging policy. Repeating the benchmark with a deliberately adversarial logger, one that selects on the outcome itself so high-response cells are over-observed and low-response cells starve, the worst case for a scorer fit on logged data, still identifies the true best policy at both signal strengths (rank correlation 0.90 and 1.00), at the cost of a small upward bias, under 1.2 percentage points, from the optimistic tables that outcome-selected logging produces. The benchmark and its adversarial variant are released with the replication package.</w:t>
      </w:r>
    </w:p>
    <w:bookmarkEnd w:id="18"/>
    <w:bookmarkEnd w:id="19"/>
    <w:bookmarkStart w:id="20" w:name="the-persistence-rule"/>
    <w:p>
      <w:pPr>
        <w:pStyle w:val="Heading2"/>
        <w:keepNext/>
        <w:keepLines/>
        <w:widowControl w:val="1"/>
      </w:pPr>
      <w:r>
        <w:t xml:space="preserve">5</w:t>
      </w:r>
      <w:r>
        <w:t xml:space="preserve"> </w:t>
      </w:r>
      <w:r>
        <w:t xml:space="preserve">The persistence rule</w:t>
      </w:r>
    </w:p>
    <w:p>
      <w:pPr>
        <w:pStyle w:val="FirstParagraph"/>
        <w:jc w:val="both"/>
        <w:keepNext w:val="0"/>
        <w:keepLines w:val="0"/>
        <w:widowControl w:val="1"/>
      </w:pPr>
      <w:r>
        <w:t xml:space="preserve">Proposition 1 identifies the campaign-by-segment</w:t>
      </w:r>
      <w:r>
        <w:t xml:space="preserve"> </w:t>
      </w:r>
      <w:r>
        <w:rPr>
          <w:i/>
          <w:iCs/>
        </w:rPr>
        <w:t xml:space="preserve">interaction</w:t>
      </w:r>
      <w:r>
        <w:t xml:space="preserve"> </w:t>
      </w:r>
      <w:r>
        <w:t xml:space="preserve">as the only exploitable object under fixed margins. Applying it across windows adds a requirement the proposition does not: the interaction is estimated on the planning window and used on the serving window, so it must also</w:t>
      </w:r>
      <w:r>
        <w:t xml:space="preserve"> </w:t>
      </w:r>
      <w:r>
        <w:rPr>
          <w:i/>
          <w:iCs/>
        </w:rPr>
        <w:t xml:space="preserve">persist</w:t>
      </w:r>
      <w:r>
        <w:t xml:space="preserve"> </w:t>
      </w:r>
      <w:r>
        <w:t xml:space="preserve">between them. Campaign main effects persist strongly (week-over-week correlation 0.81) but Proposition 1 neutralizes them under fixed quotas; segment main effects are fixed by supply. Measuring the persistence of double-centered interaction residuals per candidate axis therefore predicts, from planning-window data alone, which segmentations can pay. The estimator is explicit. For a candidate axis, take two adjacent planning windows (here 8-day and 2-day slices of the training period) and, in each, form the empirical click rate of every (campaign, group) cell with at least 300 impressions in one window and 150 in the other. Double-center each window’s cell rates by subtracting the impression-weighted campaign mean and the impression-weighted group mean and adding back the grand mean, leaving the pure interaction residual. The axis’s persistence is the Pearson correlation of these residuals across the two windows over the shared cells; empty or below-threshold cells are dropped, not imputed. An axis is retained when its persistence exceeds its estimation-noise floor (the correlation a pair of independent binomial draws at the same cell counts would produce, near zero at these volumes). The measured persistences:</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Segmentation axis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Interaction persistence (r)</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Interaction size beyond noise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Activity tier (usage volume)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0.48–0.54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~1pp on a 5.5pp base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Gender × age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0.28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~0.5pp</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Hour × position slot</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0.08</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The persistence table fixes the evaluation configuration</w:t>
      </w:r>
      <w:r>
        <w:t xml:space="preserve"> </w:t>
      </w:r>
      <w:r>
        <w:rPr>
          <w:i/>
          <w:iCs/>
        </w:rPr>
        <w:t xml:space="preserve">before</w:t>
      </w:r>
      <w:r>
        <w:t xml:space="preserve"> </w:t>
      </w:r>
      <w:r>
        <w:t xml:space="preserve">any replay is scored: the activity axis persists most strongly, and its measured persistence improves from four tiers to eight (r = 0.48 to 0.54), so the pre-committed configuration for the 100-campaign market is eight activity tiers. Both headline comparisons are reported for that single configuration; the remaining rows are the ablation that tests the rule.</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Segments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Count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Planned vs greedy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z</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Planned vs adaptive pacing</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z</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Activity, 8 tiers (pre-committed)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+3.46% ± 0.69pp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+0.92% ± 0.47pp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Activity, 4 tiers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+2.51% ± 0.50pp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+1.15% ± 0.31pp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Tier × demographics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168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+1.93% ± 0.91pp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+0.40%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+0.6</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Demographics only</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48</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−0.20% ± 0.61pp</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−0.3</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+0.46%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+1.1</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Per-fold lifts for the pre-committed configuration, so signs are visible rather than summarized: against greedy +5.2, +4.2, +2.6, +3.2, +2.2 (five of five positive; one-sided sign-test p = 0.03 independent of the parametric error model); against adaptive pacing +2.2, +1.7, +1.9, −0.5, −0.9 (three of five positive, consistent with its z = 2.0).</w:t>
      </w:r>
    </w:p>
    <w:p>
      <w:pPr>
        <w:pStyle w:val="BodyText"/>
        <w:jc w:val="both"/>
        <w:keepNext w:val="0"/>
        <w:keepLines w:val="0"/>
        <w:widowControl w:val="1"/>
      </w:pPr>
      <w:r>
        <w:t xml:space="preserve">Three conclusions. First, the architecture’s claim holds on real inventory under the model-scored replay protocol: on the pre-committed configuration the plan beats greedy serving by 3.5% expected clicks (positive in every fold) and beats an adaptive dual-price pacing policy in the family of online allocation methods [5], the strong online baseline, by 0.9% (z = 2.0; the four-tier ablation row separates from pacing at z = 3.7), while serving from precomputed tables. Second,</w:t>
      </w:r>
      <w:r>
        <w:t xml:space="preserve"> </w:t>
      </w:r>
      <w:r>
        <w:rPr>
          <w:b/>
          <w:bCs/>
        </w:rPr>
        <w:t xml:space="preserve">persistence, not granularity, carries the value</w:t>
      </w:r>
      <w:r>
        <w:t xml:space="preserve">: eight segments on the persistent axis beat 168 finer ones, because finer cells add estimation noise and re-pairing churn faster than they add exploitable signal; and the right granularity scales with per-cell data density (in a 500-campaign market, four tiers beat eight). The density component is not free of tension: eight tiers give the larger edge over greedy, yet four tiers separate more decisively from the adaptive baseline, so the depth that maximizes the gap depends on which competitor one measures against; we pre-commit to the greedy-referenced choice and report both. Third, the persistence measurement itself is the deployable design rule: before segmenting, correlate double-centered interaction residuals across adjacent planning windows, and segment only on axes that persist. The rule generalizes: on a second public log (Avazu, 40.4M mobile impressions [4]), the same measurement ranks page category as the most persistent axis (r = 0.88) and, in both datasets, time-of-day as the least, confirming that time belongs to the pacing loop, not to segmentation. Avazu’s own replay is where the rule earns its boundary: a plan fitted on a full prior window and served for a whole day is negative on three of five days, because Avazu’s ad portfolio and delivery mix turn over within a day. The persistence measurement implies a re-planning timescale, and re-planning at that timescale (every 50,000 impressions) turns the same market positive on all five days (+6.5%, +8.3%, +1.7%, +2.7%, +0.5% over greedy), confirming the mechanism and the stability condition Section 11 states. With that rule applied, the replayed policies capture 85–91% of the hindsight bound; the residual is the estimation noise and week-over-week drift that the pacing loop of Appendix A.2 exists to absorb.</w:t>
      </w:r>
    </w:p>
    <w:p>
      <w:pPr>
        <w:pStyle w:val="BodyText"/>
        <w:jc w:val="both"/>
        <w:keepNext w:val="0"/>
        <w:keepLines w:val="0"/>
        <w:widowControl w:val="1"/>
      </w:pPr>
      <w:r>
        <w:rPr>
          <w:b/>
          <w:bCs/>
        </w:rPr>
        <w:t xml:space="preserve">The granularity-density frontier.</w:t>
      </w:r>
      <w:r>
        <w:t xml:space="preserve"> </w:t>
      </w:r>
      <w:r>
        <w:t xml:space="preserve">Varying tier count against market size traces the frontier directly. In the top-100 market, 8 tiers deliver +3.46% over greedy (z = 5.0) while 16 tiers deliver +0.32% (z = 0.4). In the top-500 market, 4 tiers deliver +1.55% (z = 4.8), 8 tiers +0.94% (z = 2.2), and 16 tiers −0.43% (z = −0.9). Optimal granularity shrinks monotonically as per-cell density falls, so the rule is: persistence picks the axis, density picks the depth.</w:t>
      </w:r>
    </w:p>
    <w:p>
      <w:pPr>
        <w:pStyle w:val="BodyText"/>
        <w:jc w:val="both"/>
        <w:keepNext w:val="0"/>
        <w:keepLines w:val="0"/>
        <w:widowControl w:val="1"/>
      </w:pPr>
      <w:r>
        <w:t xml:space="preserve">These two components combine into a single selection procedure that runs on planning-window data alone and returns a segmentation, or abstains, before any serving outcome is seen.</w:t>
      </w:r>
    </w:p>
    <w:p>
      <w:pPr>
        <w:pStyle w:val="BodyText"/>
        <w:jc w:val="both"/>
        <w:keepNext w:val="0"/>
        <w:keepLines w:val="0"/>
        <w:widowControl w:val="1"/>
      </w:pPr>
      <w:r>
        <w:rPr>
          <w:b/>
          <w:bCs/>
        </w:rPr>
        <w:t xml:space="preserve">Algorithm 1 (persistence-guided segmentation selection).</w:t>
      </w:r>
      <w:r>
        <w:t xml:space="preserve"> </w:t>
      </w:r>
      <w:r>
        <w:t xml:space="preserve">Inputs: candidate axes</w:t>
      </w:r>
      <w:r>
        <w:t xml:space="preserve"> </w:t>
      </w:r>
      <w:r>
        <w:rPr>
          <w:i/>
          <w:iCs/>
        </w:rPr>
        <w:t xml:space="preserve">A</w:t>
      </w:r>
      <w:r>
        <w:t xml:space="preserve"> </w:t>
      </w:r>
      <w:r>
        <w:t xml:space="preserve">with nested resolutions</w:t>
      </w:r>
      <w:r>
        <w:t xml:space="preserve"> </w:t>
      </w:r>
      <w:r>
        <w:rPr>
          <w:i/>
          <w:iCs/>
        </w:rPr>
        <w:t xml:space="preserve">d</w:t>
      </w:r>
      <w:r>
        <w:t xml:space="preserve">, two adjacent planning windows, a support tolerance</w:t>
      </w:r>
      <w:r>
        <w:t xml:space="preserve"> </w:t>
      </w:r>
      <w:r>
        <w:rPr>
          <w:i/>
          <w:iCs/>
        </w:rPr>
        <w:t xml:space="preserve">τ</w:t>
      </w:r>
      <w:r>
        <w:t xml:space="preserve">, and a persistence floor</w:t>
      </w:r>
      <w:r>
        <w:t xml:space="preserve"> </w:t>
      </w:r>
      <w:r>
        <w:rPr>
          <w:i/>
          <w:iCs/>
        </w:rPr>
        <w:t xml:space="preserve">ρ</w:t>
      </w:r>
      <w:r>
        <w:rPr>
          <w:i/>
          <w:iCs/>
          <w:vertAlign w:val="subscript"/>
        </w:rPr>
        <w:t xml:space="preserve">0</w:t>
      </w:r>
      <w:r>
        <w:t xml:space="preserve"> </w:t>
      </w:r>
      <w:r>
        <w:t xml:space="preserve">set to the estimation-noise null.</w:t>
      </w:r>
    </w:p>
    <w:p>
      <w:pPr>
        <w:pStyle w:val="BodyText"/>
        <w:jc w:val="both"/>
        <w:keepNext w:val="0"/>
        <w:keepLines w:val="0"/>
        <w:widowControl w:val="1"/>
      </w:pPr>
      <w:r>
        <w:t xml:space="preserve">1. For each (</w:t>
      </w:r>
      <w:r>
        <w:rPr>
          <w:i/>
          <w:iCs/>
        </w:rPr>
        <w:t xml:space="preserve">A</w:t>
      </w:r>
      <w:r>
        <w:t xml:space="preserve">, </w:t>
      </w:r>
      <w:r>
        <w:rPr>
          <w:i/>
          <w:iCs/>
        </w:rPr>
        <w:t xml:space="preserve">d</w:t>
      </w:r>
      <w:r>
        <w:t xml:space="preserve">), form double-centered interaction residuals in each window over cells meeting the minimum-count thresholds; estimate persistence</w:t>
      </w:r>
      <w:r>
        <w:t xml:space="preserve"> </w:t>
      </w:r>
      <w:r>
        <w:rPr>
          <w:i/>
          <w:iCs/>
        </w:rPr>
        <w:t xml:space="preserve">ρ</w:t>
      </w:r>
      <w:r>
        <w:rPr>
          <w:i/>
          <w:iCs/>
          <w:vertAlign w:val="subscript"/>
        </w:rPr>
        <w:t xml:space="preserve">A,d</w:t>
      </w:r>
      <w:r>
        <w:t xml:space="preserve"> </w:t>
      </w:r>
      <w:r>
        <w:t xml:space="preserve">as their correlation, with a bootstrap lower confidence bound.</w:t>
      </w:r>
      <w:r>
        <w:br/>
      </w:r>
      <w:r>
        <w:t xml:space="preserve">2. Solve the planning-window LP once to get the planned allocation mass, and compute, per (</w:t>
      </w:r>
      <w:r>
        <w:rPr>
          <w:i/>
          <w:iCs/>
        </w:rPr>
        <w:t xml:space="preserve">A</w:t>
      </w:r>
      <w:r>
        <w:t xml:space="preserve">, </w:t>
      </w:r>
      <w:r>
        <w:rPr>
          <w:i/>
          <w:iCs/>
        </w:rPr>
        <w:t xml:space="preserve">d</w:t>
      </w:r>
      <w:r>
        <w:t xml:space="preserve">), the fraction of that mass landing in cells whose serving-window support would meet the minimum count.</w:t>
      </w:r>
      <w:r>
        <w:br/>
      </w:r>
      <w:r>
        <w:t xml:space="preserve">3. Call (</w:t>
      </w:r>
      <w:r>
        <w:rPr>
          <w:i/>
          <w:iCs/>
        </w:rPr>
        <w:t xml:space="preserve">A</w:t>
      </w:r>
      <w:r>
        <w:t xml:space="preserve">, </w:t>
      </w:r>
      <w:r>
        <w:rPr>
          <w:i/>
          <w:iCs/>
        </w:rPr>
        <w:t xml:space="preserve">d</w:t>
      </w:r>
      <w:r>
        <w:t xml:space="preserve">)</w:t>
      </w:r>
      <w:r>
        <w:t xml:space="preserve"> </w:t>
      </w:r>
      <w:r>
        <w:rPr>
          <w:b/>
          <w:bCs/>
        </w:rPr>
        <w:t xml:space="preserve">admissible</w:t>
      </w:r>
      <w:r>
        <w:t xml:space="preserve"> </w:t>
      </w:r>
      <w:r>
        <w:t xml:space="preserve">if at least (1 − </w:t>
      </w:r>
      <w:r>
        <w:rPr>
          <w:i/>
          <w:iCs/>
        </w:rPr>
        <w:t xml:space="preserve">τ</w:t>
      </w:r>
      <w:r>
        <w:t xml:space="preserve">) of the planned mass is supported and the persistence lower bound exceeds</w:t>
      </w:r>
      <w:r>
        <w:t xml:space="preserve"> </w:t>
      </w:r>
      <w:r>
        <w:rPr>
          <w:i/>
          <w:iCs/>
        </w:rPr>
        <w:t xml:space="preserve">ρ</w:t>
      </w:r>
      <w:r>
        <w:rPr>
          <w:i/>
          <w:iCs/>
          <w:vertAlign w:val="subscript"/>
        </w:rPr>
        <w:t xml:space="preserve">0</w:t>
      </w:r>
      <w:r>
        <w:t xml:space="preserve">.</w:t>
      </w:r>
      <w:r>
        <w:br/>
      </w:r>
      <w:r>
        <w:t xml:space="preserve">4. Among admissible axes pick the one with the strongest persistence; within it pick the finest depth whose cells retain enough data to resolve the interaction,</w:t>
      </w:r>
    </w:p>
    <w:p>
      <w:pPr>
        <w:pStyle w:val="BodyText"/>
        <w:jc w:val="both"/>
        <w:keepNext w:val="0"/>
        <w:keepLines w:val="0"/>
        <w:widowControl w:val="1"/>
      </w:pPr>
      <w:r>
        <w:t xml:space="preserve">d</w:t>
      </w:r>
      <w:r>
        <w:rPr>
          <w:vertAlign w:val="superscript"/>
        </w:rPr>
        <w:t xml:space="preserve">*</w:t>
      </w:r>
      <w:r>
        <w:t xml:space="preserve"> </w:t>
      </w:r>
      <w:r>
        <w:t xml:space="preserve">= max { d : median</w:t>
      </w:r>
      <w:r>
        <w:rPr>
          <w:vertAlign w:val="subscript"/>
        </w:rPr>
        <w:t xml:space="preserve">(c,s): x</w:t>
      </w:r>
      <w:r>
        <w:rPr>
          <w:vertAlign w:val="superscript"/>
          <w:vertAlign w:val="subscript"/>
        </w:rPr>
        <w:t xml:space="preserve">plan</w:t>
      </w:r>
      <w:r>
        <w:rPr>
          <w:vertAlign w:val="subscript"/>
          <w:vertAlign w:val="subscript"/>
        </w:rPr>
        <w:t xml:space="preserve">cs</w:t>
      </w:r>
      <w:r>
        <w:rPr>
          <w:vertAlign w:val="subscript"/>
        </w:rPr>
        <w:t xml:space="preserve">&gt;0</w:t>
      </w:r>
      <w:r>
        <w:t xml:space="preserve"> </w:t>
      </w:r>
      <w:r>
        <w:t xml:space="preserve">N</w:t>
      </w:r>
      <w:r>
        <w:rPr>
          <w:vertAlign w:val="superscript"/>
        </w:rPr>
        <w:t xml:space="preserve">train</w:t>
      </w:r>
      <w:r>
        <w:rPr>
          <w:vertAlign w:val="subscript"/>
        </w:rPr>
        <w:t xml:space="preserve">cs</w:t>
      </w:r>
      <w:r>
        <w:t xml:space="preserve"> </w:t>
      </w:r>
      <w:r>
        <w:t xml:space="preserve">≥ n</w:t>
      </w:r>
      <w:r>
        <w:rPr>
          <w:vertAlign w:val="subscript"/>
        </w:rPr>
        <w:t xml:space="preserve">min</w:t>
      </w:r>
      <w:r>
        <w:t xml:space="preserve"> </w:t>
      </w:r>
      <w:r>
        <w:t xml:space="preserve">}, n</w:t>
      </w:r>
      <w:r>
        <w:rPr>
          <w:vertAlign w:val="subscript"/>
        </w:rPr>
        <w:t xml:space="preserve">min</w:t>
      </w:r>
      <w:r>
        <w:t xml:space="preserve"> </w:t>
      </w:r>
      <w:r>
        <w:t xml:space="preserve">≈ p̄(1−p̄) / σ</w:t>
      </w:r>
      <w:r>
        <w:rPr>
          <w:vertAlign w:val="subscript"/>
        </w:rPr>
        <w:t xml:space="preserve">γ</w:t>
      </w:r>
      <w:r>
        <w:rPr>
          <w:vertAlign w:val="superscript"/>
        </w:rPr>
        <w:t xml:space="preserve">2</w:t>
      </w:r>
      <w:r>
        <w:t xml:space="preserve">,</w:t>
      </w:r>
    </w:p>
    <w:p>
      <w:pPr>
        <w:pStyle w:val="BodyText"/>
        <w:jc w:val="both"/>
        <w:keepNext w:val="0"/>
        <w:keepLines w:val="0"/>
        <w:widowControl w:val="1"/>
      </w:pPr>
      <w:r>
        <w:t xml:space="preserve">where</w:t>
      </w:r>
      <w:r>
        <w:t xml:space="preserve"> </w:t>
      </w:r>
      <w:r>
        <w:rPr>
          <w:i/>
          <w:iCs/>
        </w:rPr>
        <w:t xml:space="preserve">N</w:t>
      </w:r>
      <w:r>
        <w:rPr>
          <w:i/>
          <w:iCs/>
          <w:vertAlign w:val="superscript"/>
        </w:rPr>
        <w:t xml:space="preserve">train</w:t>
      </w:r>
      <w:r>
        <w:t xml:space="preserve"> </w:t>
      </w:r>
      <w:r>
        <w:t xml:space="preserve">is the planning-window count of a cell,</w:t>
      </w:r>
      <w:r>
        <w:t xml:space="preserve"> </w:t>
      </w:r>
      <w:r>
        <w:rPr>
          <w:i/>
          <w:iCs/>
        </w:rPr>
        <w:t xml:space="preserve">p̄</w:t>
      </w:r>
      <w:r>
        <w:t xml:space="preserve"> </w:t>
      </w:r>
      <w:r>
        <w:t xml:space="preserve">the base click rate, and</w:t>
      </w:r>
      <w:r>
        <w:t xml:space="preserve"> </w:t>
      </w:r>
      <w:r>
        <w:rPr>
          <w:i/>
          <w:iCs/>
        </w:rPr>
        <w:t xml:space="preserve">σ</w:t>
      </w:r>
      <w:r>
        <w:rPr>
          <w:i/>
          <w:iCs/>
          <w:vertAlign w:val="subscript"/>
        </w:rPr>
        <w:t xml:space="preserve">γ</w:t>
      </w:r>
      <w:r>
        <w:t xml:space="preserve"> </w:t>
      </w:r>
      <w:r>
        <w:t xml:space="preserve">the interaction standard deviation;</w:t>
      </w:r>
      <w:r>
        <w:t xml:space="preserve"> </w:t>
      </w:r>
      <w:r>
        <w:rPr>
          <w:i/>
          <w:iCs/>
        </w:rPr>
        <w:t xml:space="preserve">n</w:t>
      </w:r>
      <w:r>
        <w:rPr>
          <w:i/>
          <w:iCs/>
          <w:vertAlign w:val="subscript"/>
        </w:rPr>
        <w:t xml:space="preserve">min</w:t>
      </w:r>
      <w:r>
        <w:t xml:space="preserve"> </w:t>
      </w:r>
      <w:r>
        <w:t xml:space="preserve">is the count at which a per-cell estimate resolves the interaction, both quantities measured on planning data. 5. If no axis is admissible,</w:t>
      </w:r>
      <w:r>
        <w:t xml:space="preserve"> </w:t>
      </w:r>
      <w:r>
        <w:rPr>
          <w:b/>
          <w:bCs/>
        </w:rPr>
        <w:t xml:space="preserve">abstain</w:t>
      </w:r>
      <w:r>
        <w:t xml:space="preserve"> </w:t>
      </w:r>
      <w:r>
        <w:t xml:space="preserve">(serve the unsegmented market). Freeze the choice before the serving window.</w:t>
      </w:r>
    </w:p>
    <w:p>
      <w:pPr>
        <w:pStyle w:val="BodyText"/>
        <w:jc w:val="both"/>
        <w:keepNext w:val="0"/>
        <w:keepLines w:val="0"/>
        <w:widowControl w:val="1"/>
      </w:pPr>
      <w:r>
        <w:t xml:space="preserve">6. Independently of the axis choice, measure</w:t>
      </w:r>
      <w:r>
        <w:t xml:space="preserve"> </w:t>
      </w:r>
      <w:r>
        <w:rPr>
          <w:b/>
          <w:bCs/>
        </w:rPr>
        <w:t xml:space="preserve">contention</w:t>
      </w:r>
      <w:r>
        <w:t xml:space="preserve"> </w:t>
      </w:r>
      <w:r>
        <w:t xml:space="preserve">on the planning window: for each segment compare the quota booked against it to its forecast supply, κ</w:t>
      </w:r>
      <w:r>
        <w:rPr>
          <w:vertAlign w:val="subscript"/>
        </w:rPr>
        <w:t xml:space="preserve">s</w:t>
      </w:r>
      <w:r>
        <w:t xml:space="preserve"> = (∑</w:t>
      </w:r>
      <w:r>
        <w:rPr>
          <w:vertAlign w:val="subscript"/>
        </w:rPr>
        <w:t xml:space="preserve">c</w:t>
      </w:r>
      <w:r>
        <w:t xml:space="preserve"> </w:t>
      </w:r>
      <w:r>
        <w:t xml:space="preserve">planned demand on</w:t>
      </w:r>
      <w:r>
        <w:t xml:space="preserve"> </w:t>
      </w:r>
      <w:r>
        <w:rPr>
          <w:i/>
          <w:iCs/>
        </w:rPr>
        <w:t xml:space="preserve">s</w:t>
      </w:r>
      <w:r>
        <w:t xml:space="preserve">) / S</w:t>
      </w:r>
      <w:r>
        <w:rPr>
          <w:vertAlign w:val="subscript"/>
        </w:rPr>
        <w:t xml:space="preserve">s</w:t>
      </w:r>
      <w:r>
        <w:t xml:space="preserve">. Where supply dwarfs demand (κ</w:t>
      </w:r>
      <w:r>
        <w:rPr>
          <w:vertAlign w:val="subscript"/>
        </w:rPr>
        <w:t xml:space="preserve">s</w:t>
      </w:r>
      <w:r>
        <w:t xml:space="preserve"> ≪ 1 on the segments that carry the interaction) the achievable allocation gain is bounded and small whatever the segmentation, because greedy already leaves little on the table; the persistence probe then identifies the right axis but the market does not reward acting on it. This is a pre-deployment quantity, computed before any serving, and it is what separates the two markets in Section 6: contended Taobao rewards the segmentation, uncontended Outbrain does not until the demand regime is stressed.</w:t>
      </w:r>
    </w:p>
    <w:p>
      <w:pPr>
        <w:pStyle w:val="BodyText"/>
        <w:jc w:val="both"/>
        <w:keepNext w:val="0"/>
        <w:keepLines w:val="0"/>
        <w:widowControl w:val="1"/>
      </w:pPr>
      <w:r>
        <w:t xml:space="preserve">The axis step is decisive and robust: run blind it selects activity on Taobao, page platform on Outbrain, and the axis ranking Avazu’s table implies. The Outbrain choice was frozen in a public, dated commit before its replay was scored, the sense in which that application is pre-registered. The depth step ties to a measurable density. The median planning count of the cells the plan fills falls with both depth and market breadth (Taobao top-100: about 2,700, 1,400, and 670 at 4, 8, and 16 tiers; top-500: 1,100, 530, and 260), and with</w:t>
      </w:r>
      <w:r>
        <w:t xml:space="preserve"> </w:t>
      </w:r>
      <w:r>
        <w:rPr>
          <w:i/>
          <w:iCs/>
        </w:rPr>
        <w:t xml:space="preserve">σ</w:t>
      </w:r>
      <w:r>
        <w:rPr>
          <w:i/>
          <w:iCs/>
          <w:vertAlign w:val="subscript"/>
        </w:rPr>
        <w:t xml:space="preserve">γ</w:t>
      </w:r>
      <w:r>
        <w:t xml:space="preserve"> ≈ 1pp on a 5% base giving</w:t>
      </w:r>
      <w:r>
        <w:t xml:space="preserve"> </w:t>
      </w:r>
      <w:r>
        <w:rPr>
          <w:i/>
          <w:iCs/>
        </w:rPr>
        <w:t xml:space="preserve">n</w:t>
      </w:r>
      <w:r>
        <w:rPr>
          <w:i/>
          <w:iCs/>
          <w:vertAlign w:val="subscript"/>
        </w:rPr>
        <w:t xml:space="preserve">min</w:t>
      </w:r>
      <w:r>
        <w:t xml:space="preserve"> </w:t>
      </w:r>
      <w:r>
        <w:t xml:space="preserve">on the order of 10</w:t>
      </w:r>
      <w:r>
        <w:rPr>
          <w:vertAlign w:val="superscript"/>
        </w:rPr>
        <w:t xml:space="preserve">3</w:t>
      </w:r>
      <w:r>
        <w:t xml:space="preserve">, the criterion keeps eight tiers at top-100 and four at top-500, matching the ablation optima above. The threshold is an order-of-magnitude reliability target rather than a constant validated out of sample, so we report depth selection as density-guided rather than fully closed; the axis and abstain decisions are the parts of Algorithm 1 that run without any such tuning.</w:t>
      </w:r>
    </w:p>
    <w:bookmarkEnd w:id="20"/>
    <w:bookmarkStart w:id="24" w:name="the-regime-map"/>
    <w:p>
      <w:pPr>
        <w:pStyle w:val="Heading2"/>
        <w:keepNext/>
        <w:keepLines/>
        <w:widowControl w:val="1"/>
      </w:pPr>
      <w:r>
        <w:t xml:space="preserve">6</w:t>
      </w:r>
      <w:r>
        <w:t xml:space="preserve"> </w:t>
      </w:r>
      <w:r>
        <w:t xml:space="preserve">The regime map</w:t>
      </w:r>
    </w:p>
    <w:p>
      <w:pPr>
        <w:pStyle w:val="FirstParagraph"/>
        <w:jc w:val="both"/>
        <w:keepNext w:val="0"/>
        <w:keepLines w:val="0"/>
        <w:widowControl w:val="1"/>
      </w:pPr>
      <w:r>
        <w:t xml:space="preserve">Over-subscription is the regime that motivates planning, and the market reconstruction supports stressing it directly. Quotas set to each campaign’s realized delivery make the market exactly feasible; scaling all quotas above deliverable supply forces genuine contention, and policies choose which campaigns under-deliver. Six policies, alongside greedy, replay each regime on the pre-committed configuration: the static plan; a periodically re-solved plan (the same LP re-solved on remaining quotas and prorated remaining supply every 20,000 impressions); a scalar dual-price pacing controller; the fixed optimal dual; and dual mirror descent in Euclidean and entropic geometries. The dual-price policies and their tuning are specified below. Lift versus greedy, combined over the five walk-forward folds, with z in parentheses:</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Quota scale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Static plan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Re-solved plan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Fixed optimal dual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DMD, entropic</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DMD, Euclidean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Scalar pacing</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+3.46% (5.0)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+4.27% (6.1)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+4.45% (6.4)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+4.54% (6.8)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+4.73% (7.1)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+3.86% (6.3)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+2.16% (3.1)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+3.49% (5.2)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+2.41% (3.8)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+3.62% (5.7)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+2.65% (4.3)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+0.73% (1.4)</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1.25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+1.56% (2.2)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+3.39% (5.2)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+3.05% (4.9)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+3.06% (5.4)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−0.25% (−0.4)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−2.25% (−4.0)</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+0.28% (0.4)</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+2.22% (3.4)</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+1.49% (2.4)</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−0.52% (−0.9)</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−4.76% (−7.2)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−6.88% (−11.2)</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drawing>
                <wp:inline>
                  <wp:extent cx="5943600" cy="2889250"/>
                  <wp:effectExtent b="0" l="0" r="0" t="0"/>
                  <wp:docPr descr="Figure 2" title="" id="22" name="Picture"/>
                  <a:graphic>
                    <a:graphicData uri="http://schemas.openxmlformats.org/drawingml/2006/picture">
                      <pic:pic>
                        <pic:nvPicPr>
                          <pic:cNvPr descr="figs2col/fig2.png" id="23" name="Picture"/>
                          <pic:cNvPicPr>
                            <a:picLocks noChangeArrowheads="1" noChangeAspect="1"/>
                          </pic:cNvPicPr>
                        </pic:nvPicPr>
                        <pic:blipFill>
                          <a:blip r:embed="rId21"/>
                          <a:stretch>
                            <a:fillRect/>
                          </a:stretch>
                        </pic:blipFill>
                        <pic:spPr bwMode="auto">
                          <a:xfrm>
                            <a:off x="0" y="0"/>
                            <a:ext cx="5943600" cy="2889250"/>
                          </a:xfrm>
                          <a:prstGeom prst="rect">
                            <a:avLst/>
                          </a:prstGeom>
                          <a:noFill/>
                          <a:ln w="9525">
                            <a:noFill/>
                            <a:headEnd/>
                            <a:tailEnd/>
                          </a:ln>
                        </pic:spPr>
                      </pic:pic>
                    </a:graphicData>
                  </a:graphic>
                </wp:inline>
              </w:drawing>
            </w:r>
          </w:p>
        </w:tc>
      </w:tr>
    </w:tbl>
    <w:p>
      <w:pPr>
        <w:pStyle w:val="ImageCaption"/>
        <w:spacing w:before="80" w:after="120" w:line="240" w:lineRule="auto"/>
        <w:jc w:val="center"/>
        <w:keepNext w:val="0"/>
        <w:keepLines/>
        <w:widowControl w:val="1"/>
      </w:pPr>
      <w:r>
        <w:rPr>
          <w:b/>
          <w:i/>
        </w:rPr>
        <w:t>Figure 2.</w:t>
      </w:r>
      <w:r>
        <w:rPr>
          <w:b w:val="0"/>
          <w:i/>
        </w:rPr>
        <w:t xml:space="preserve"> </w:t>
      </w:r>
      <w:r>
        <w:rPr>
          <w:b w:val="0"/>
          <w:i/>
        </w:rPr>
        <w:t>The regime map as a deployment chart. Each curve is one policy’s lift over greedy serving (walk-forward mean, Taobao top-100, pre-committed 8-tier segmentation) as quotas are scaled above deliverable supply. Of the four policies plotted, the re-solved plan is the only one that stays above greedy across the whole contention range; every online price-learning method crosses into the shaded loss region, in order of update aggressiveness (scalar first, then Euclidean, then entropic mirror descent). The static plan and the fixed optimal dual, omitted to keep the chart legible, also stay non-negative under the click objective (Section 6 table). An operator reads the horizontal axis from the pre-deployment contention ratio of Algorithm 1, step 6, and the chart says when planning is worth the effort and which pacing to trust.</w:t>
      </w:r>
    </w:p>
    <w:p>
      <w:pPr>
        <w:pStyle w:val="BodyText"/>
        <w:jc w:val="both"/>
        <w:keepNext w:val="0"/>
        <w:keepLines w:val="0"/>
        <w:widowControl w:val="1"/>
      </w:pPr>
      <w:r>
        <w:t xml:space="preserve">The dual-price baselines are given every advantage: their step size is tuned on held-out planning-window traffic, the warm variant is initialized from the plan LP’s own quota shadow prices, and each paces toward a</w:t>
      </w:r>
      <w:r>
        <w:t xml:space="preserve"> </w:t>
      </w:r>
      <w:r>
        <w:rPr>
          <w:i/>
          <w:iCs/>
        </w:rPr>
        <w:t xml:space="preserve">feasible</w:t>
      </w:r>
      <w:r>
        <w:t xml:space="preserve"> </w:t>
      </w:r>
      <w:r>
        <w:t xml:space="preserve">delivery trajectory (the proportionally deliverable quota for the plan-free variants, the LP’s planned delivery for the warm variant) rather than the raw over-subscribed quota. The re-solved plan is held to the same information as the plan: it re-solves on the planning-window forecast prorated to remaining supply, never on realized serving-window arrivals. Two further policies separate the price from its adaptation. The</w:t>
      </w:r>
      <w:r>
        <w:t xml:space="preserve"> </w:t>
      </w:r>
      <w:r>
        <w:rPr>
          <w:b/>
          <w:bCs/>
        </w:rPr>
        <w:t xml:space="preserve">fixed optimal-dual</w:t>
      </w:r>
      <w:r>
        <w:t xml:space="preserve"> </w:t>
      </w:r>
      <w:r>
        <w:t xml:space="preserve">policy serves the quota-remaining campaign maximizing p̂</w:t>
      </w:r>
      <w:r>
        <w:rPr>
          <w:vertAlign w:val="subscript"/>
        </w:rPr>
        <w:t xml:space="preserve">cs</w:t>
      </w:r>
      <w:r>
        <w:t xml:space="preserve"> − μ</w:t>
      </w:r>
      <w:r>
        <w:rPr>
          <w:vertAlign w:val="superscript"/>
        </w:rPr>
        <w:t xml:space="preserve">*</w:t>
      </w:r>
      <w:r>
        <w:rPr>
          <w:vertAlign w:val="subscript"/>
        </w:rPr>
        <w:t xml:space="preserve">c</w:t>
      </w:r>
      <w:r>
        <w:t xml:space="preserve"> </w:t>
      </w:r>
      <w:r>
        <w:t xml:space="preserve">using the exact optimal quota shadow prices μ</w:t>
      </w:r>
      <w:r>
        <w:rPr>
          <w:vertAlign w:val="superscript"/>
        </w:rPr>
        <w:t xml:space="preserve">*</w:t>
      </w:r>
      <w:r>
        <w:t xml:space="preserve"> </w:t>
      </w:r>
      <w:r>
        <w:t xml:space="preserve">of the over-subscribed plan LP, with no online update: a per-campaign-price policy that never adapts. Against it we run the state-of-the-art adaptive method,</w:t>
      </w:r>
      <w:r>
        <w:t xml:space="preserve"> </w:t>
      </w:r>
      <w:r>
        <w:rPr>
          <w:b/>
          <w:bCs/>
        </w:rPr>
        <w:t xml:space="preserve">dual mirror descent</w:t>
      </w:r>
      <w:r>
        <w:t xml:space="preserve"> </w:t>
      </w:r>
      <w:r>
        <w:t xml:space="preserve">[21] in both Euclidean and entropic geometries, tuned on the planning window; the earlier scalar quota-error controller is retained as a practical baseline.</w:t>
      </w:r>
    </w:p>
    <w:p>
      <w:pPr>
        <w:pStyle w:val="BodyText"/>
        <w:jc w:val="both"/>
        <w:keepNext w:val="0"/>
        <w:keepLines w:val="0"/>
        <w:widowControl w:val="1"/>
      </w:pPr>
      <w:r>
        <w:t xml:space="preserve">At exact feasibility all seven policies cluster within a point; most of the value is the forecast itself, which each consumes. Under contention they separate, and the separation is a spectrum set by how the prices are obtained (Figure 2). Adaptation degrades with the update rule: the scalar controller weakens first (+0.7% at 110% quotas, −6.9% at 150%), Euclidean mirror descent holds to 110% then falls (−4.8% at 150%), and even the strongest adaptive method, entropic mirror descent, tracks the re-solved plan through 125% over-subscription (+3.06% versus +3.39%) before turning slightly negative at 150% (−0.5%). The policies that obtain prices by solving rather than learning them online, the static plan, the re-solved plan, and the fixed optimal dual, are the ones that stay non-negative across the range; the re-solved plan holds the largest margin under contention (+2.2% to +4.3%), while the static plan’s edge narrows to within noise at the heaviest over-subscription (+0.28% at 150%). The semi-synthetic benchmark of Section 4.1 bounds what this table can resolve: gaps at or below roughly 0.3 points, the feasibility row where every policy clusters and the re-solve-versus-entropic-DMD cell at 125%, are within the protocol’s resolution and are not read here as an ordering; the collapses that carry the argument, 3 to 45 points, are far outside it. Two conclusions follow. First, the failure under heavy over-subscription is shared by every adaptive dual-price method we test, modern mirror descent included; a well-chosen adaptive method (entropic DMD) is nonetheless competitive through moderate contention, so the claim is about the heavy-contention regime, not adaptation in general. Second, the fixed optimal dual’s survival under this objective shows per-campaign pricing itself is not the problem, as linear-programming duality predicts: a static optimal price vector can carry the allocation. What fails as contention grows is learning that vector online. This second conclusion holds under the click objective: the revenue results below show a one-shot optimal dual mispricing campaigns when the realized arrival order departs from the fluid plan its prices were solved against. The sharper claim, that prices should be</w:t>
      </w:r>
      <w:r>
        <w:t xml:space="preserve"> </w:t>
      </w:r>
      <w:r>
        <w:rPr>
          <w:i/>
          <w:iCs/>
        </w:rPr>
        <w:t xml:space="preserve">obtained by solving</w:t>
      </w:r>
      <w:r>
        <w:t xml:space="preserve"> </w:t>
      </w:r>
      <w:r>
        <w:t xml:space="preserve">and re-solved on the pacing cadence, is stated as the deployment rule below.</w:t>
      </w:r>
    </w:p>
    <w:p>
      <w:pPr>
        <w:pStyle w:val="BodyText"/>
        <w:jc w:val="both"/>
        <w:keepNext w:val="0"/>
        <w:keepLines w:val="0"/>
        <w:widowControl w:val="1"/>
      </w:pPr>
      <w:r>
        <w:t xml:space="preserve">The deployment rule follows: the LP’s prices are what matter, so obtain them by solving, and recompute them on the pacing cadence (re-solve). Holding a one-shot LP optimum (the fixed dual) suffices under the click objective but is not universally robust, as the revenue results below show; online price learning is competitive only while contention is mild, and no adaptive variant we test survives heavy over-subscription. Re-solving is the single price source positive in every regime we measure.</w:t>
      </w:r>
    </w:p>
    <w:p>
      <w:pPr>
        <w:pStyle w:val="BodyText"/>
        <w:jc w:val="both"/>
        <w:keepNext w:val="0"/>
        <w:keepLines w:val="0"/>
        <w:widowControl w:val="1"/>
      </w:pPr>
      <w:r>
        <w:t xml:space="preserve">The regime map reproduces on a second, independent dataset. We repeat the whole protocol on the Outbrain content-recommendation log (87M joined impressions, a slate-click structure unlike Taobao’s display, with the segmentation axis fixed in advance to the most persistent one measured on the planning window, page platform, whose interaction residuals correlate at r = 0.95 across the shared campaign-by-platform cells; the axis has three platform levels, so this is a statement about the stability of campaigns’ platform preferences, not a many-point fit). At native quotas the Outbrain market is barely contended, per-segment supply dwarfs the quotas, so every policy sits within a percentage point of greedy, exactly the low-contention corner of the map. Under the same over-subscription stress, the ordering returns and sharpens: the re-solved plan is the only policy positive at every level (+0.3 to +0.6%), the static plan and the fixed optimal-dual degrade gently, and online scalar pacing collapses far more steeply than on Taobao, to −19%, −34%, and −44% at 1.5×, 2×, and 3× quotas. That online price learning, not per-campaign pricing, is the failure under contention, and that solving for the prices is the robust choice, holds across two datasets from different domains. Two qualifications attach to this second market. The over-subscription sweep is a counterfactual market that Outbrain’s operator never ran: native quotas are barely contended, so the stress levels probe a demand regime absent from the log, and the result is a statement about the mechanism under contention, not about Outbrain’s realized traffic. And the native low contention is measurable before deployment: the per-segment supply exceeds the median quota by more than two orders of magnitude, so the abstain-when-uncontended condition is a pre-deployment check (compare quota to segment supply) rather than a judgment made after seeing the lift. The truncated final serving day, whose partial log would understate late-day supply, is excluded throughout.</w:t>
      </w:r>
    </w:p>
    <w:p>
      <w:pPr>
        <w:pStyle w:val="BodyText"/>
        <w:jc w:val="both"/>
        <w:keepNext w:val="0"/>
        <w:keepLines w:val="0"/>
        <w:widowControl w:val="1"/>
      </w:pPr>
      <w:r>
        <w:t xml:space="preserve">The regime map also survives a change of objective, from clicks to revenue under guaranteed delivery. We reformulate the market so campaigns carry heterogeneous per-impression values and unmet quotas cost a makegood penalty: half the campaigns, drawn at random, pay per click, so their value on a segment is cpc</w:t>
      </w:r>
      <w:r>
        <w:rPr>
          <w:vertAlign w:val="subscript"/>
        </w:rPr>
        <w:t xml:space="preserve">c</w:t>
      </w:r>
      <w:r>
        <w:t xml:space="preserve"> · p</w:t>
      </w:r>
      <w:r>
        <w:rPr>
          <w:vertAlign w:val="subscript"/>
        </w:rPr>
        <w:t xml:space="preserve">cs</w:t>
      </w:r>
      <w:r>
        <w:t xml:space="preserve"> </w:t>
      </w:r>
      <w:r>
        <w:t xml:space="preserve">and rides on the interaction the paper is about, and half pay per impression at a flat cpm</w:t>
      </w:r>
      <w:r>
        <w:rPr>
          <w:vertAlign w:val="subscript"/>
        </w:rPr>
        <w:t xml:space="preserve">c</w:t>
      </w:r>
      <w:r>
        <w:t xml:space="preserve"> </w:t>
      </w:r>
      <w:r>
        <w:t xml:space="preserve">that rewards reach and is indifferent to the segment, with the two types calibrated to the same mean value per impression so neither dominates by construction; delivery is capped at the booked quota and each undelivered guaranteed impression costs a penalty β</w:t>
      </w:r>
      <w:r>
        <w:rPr>
          <w:vertAlign w:val="subscript"/>
        </w:rPr>
        <w:t xml:space="preserve">c</w:t>
      </w:r>
      <w:r>
        <w:t xml:space="preserve">. Across eight independent value draws and four contention levels, the static plan and the re-solved plan are the top tier in every one of the resulting cells, positive throughout (about +0.4% to +5% over revenue-greedy at makegood-at-par pricing), and their advantage</w:t>
      </w:r>
      <w:r>
        <w:t xml:space="preserve"> </w:t>
      </w:r>
      <w:r>
        <w:rPr>
          <w:i/>
          <w:iCs/>
        </w:rPr>
        <w:t xml:space="preserve">grows</w:t>
      </w:r>
      <w:r>
        <w:t xml:space="preserve"> </w:t>
      </w:r>
      <w:r>
        <w:t xml:space="preserve">as the guarantee hardens: sweeping the penalty from a pure spot market to a near-hard guarantee, the plan-tier lift rises into double digits under heavy contention, because a makegood-exposed seller is punished most for exactly the misallocation that planning removes. The adaptive policies stay positive but trail the plan tier throughout; unlike the pure-click objective they do not collapse to large negatives, because a mispaced impression still earns its flat CPM value and still retires a makegood liability, so the revenue objective is more forgiving of online mispricing than clicks are. The fixed optimal dual is the least stable policy: positive at exact feasibility in every draw (+1% to +4%) but negative under contention in the majority of them, as low as −7.7%, because a price vector solved once against the fluid plan starves guaranteed campaigns when the realized arrival order departs from it, earning high gross value while paying large makegood penalties, a per-campaign decomposition the released harness prints. Re-solving on the pacing cadence removes the fragility, positive in every draw at every level. The deployment rule, solve for the prices and re-solve on the pacing cadence, is therefore a property of the allocation, not of the click objective it was first measured on.</w:t>
      </w:r>
    </w:p>
    <w:p>
      <w:pPr>
        <w:pStyle w:val="BodyText"/>
        <w:jc w:val="both"/>
        <w:keepNext w:val="0"/>
        <w:keepLines w:val="0"/>
        <w:widowControl w:val="1"/>
      </w:pPr>
      <w:r>
        <w:t xml:space="preserve">Three robustness checks anchor the table. The headline planned-versus-greedy comparison survives a user-clustered bootstrap (z = +4.55) and an across-fold t-test (t(4) = +5.50); at exact feasibility the strong policies are statistically close, so the ordering across contention regimes, not any single feasibility cell, is the claim. Re-pairing the impression stream changes per-user exposure composition; re-scoring under a first-exposure table (each user’s first impression of each campaign only, which removes repeat-exposure composition) moves the headline from +3.46% to +3.88%, so exposure fatigue does not manufacture the result. The regime map is a single-market result: the over-subscription sweep is run on the Taobao top-100 reconstruction, while Avazu contributes only the stability boundary. The z-values in the table above the headline row come from the parametric binomial model; the conclusions that rest on them (the re-solved plan’s dominance at every over-subscribed scale, the dual collapse) hold with the same sign and comparable magnitude under the user-clustered bootstrap where we recomputed them. The remaining, and inherent, limitation is that these are model-scored expected clicks: an outcome-grounded estimate is possible only on the 2–2.4% of impressions where a policy’s choice coincides with the logged action, a subset both tiny and selected toward the logging policy. On it, a self-normalized inverse-propensity estimate with an estimated segment-level logging propensity puts planned within ±1pp of greedy at t(4) = −0.5, that is, inconclusive; the matched-subset calibration shows the model scorer understates realized CTR slightly and symmetrically for both policies (about 6.8% realized versus 6.5% modeled), so it is not inflating the gap. Public logs cannot close this gap; only an interventional deployment can.</w:t>
      </w:r>
    </w:p>
    <w:bookmarkEnd w:id="24"/>
    <w:bookmarkStart w:id="28" w:name="simulation-as-calibration"/>
    <w:p>
      <w:pPr>
        <w:pStyle w:val="Heading2"/>
        <w:keepNext/>
        <w:keepLines/>
        <w:widowControl w:val="1"/>
      </w:pPr>
      <w:r>
        <w:t xml:space="preserve">7</w:t>
      </w:r>
      <w:r>
        <w:t xml:space="preserve"> </w:t>
      </w:r>
      <w:r>
        <w:t xml:space="preserve">Simulation as calibration</w:t>
      </w:r>
    </w:p>
    <w:p>
      <w:pPr>
        <w:pStyle w:val="FirstParagraph"/>
        <w:jc w:val="both"/>
        <w:keepNext w:val="0"/>
        <w:keepLines w:val="0"/>
        <w:widowControl w:val="1"/>
      </w:pPr>
      <w:r>
        <w:t xml:space="preserve">The regime map of Section 6 was measured by a replay harness; this section calibrates that harness on a fully synthetic market where ground truth is known and every quantity is controlled. The four-subscriber example of Section 2 proves the mechanism exists; a Monte-Carlo simulation quantifies it at realistic scale. Each replication generates a synthetic market: 60 segments with lognormal traffic (about 200,000 impression opportunities), 25 campaigns whose quotas sell 80% of expected inventory, per-impression prices drawn uniformly on [$0.05, $0.30] and per-click prices on [$0.50, $3.00], and click probabilities from a campaign-audience affinity model (each campaign genuinely fits some audiences better than others, with rates spanning 0.1%–8%). Each campaign is eligible, by targeting, on roughly 60% of segments.</w:t>
      </w:r>
    </w:p>
    <w:p>
      <w:pPr>
        <w:pStyle w:val="BodyText"/>
        <w:jc w:val="both"/>
        <w:keepNext w:val="0"/>
        <w:keepLines w:val="0"/>
        <w:widowControl w:val="1"/>
      </w:pPr>
      <w:r>
        <w:t xml:space="preserve">Two policies then serve the</w:t>
      </w:r>
      <w:r>
        <w:t xml:space="preserve"> </w:t>
      </w:r>
      <w:r>
        <w:rPr>
          <w:i/>
          <w:iCs/>
        </w:rPr>
        <w:t xml:space="preserve">identical</w:t>
      </w:r>
      <w:r>
        <w:t xml:space="preserve"> </w:t>
      </w:r>
      <w:r>
        <w:t xml:space="preserve">event stream under identical quotas, prices, probabilities, and targeting. The</w:t>
      </w:r>
      <w:r>
        <w:t xml:space="preserve"> </w:t>
      </w:r>
      <w:r>
        <w:rPr>
          <w:b/>
          <w:bCs/>
        </w:rPr>
        <w:t xml:space="preserve">greedy</w:t>
      </w:r>
      <w:r>
        <w:t xml:space="preserve"> </w:t>
      </w:r>
      <w:r>
        <w:t xml:space="preserve">policy is the conventional per-event rule: serve the eligible, quota-remaining campaign with the highest immediate expected revenue. The</w:t>
      </w:r>
      <w:r>
        <w:t xml:space="preserve"> </w:t>
      </w:r>
      <w:r>
        <w:rPr>
          <w:b/>
          <w:bCs/>
        </w:rPr>
        <w:t xml:space="preserve">planned</w:t>
      </w:r>
      <w:r>
        <w:t xml:space="preserve"> </w:t>
      </w:r>
      <w:r>
        <w:t xml:space="preserve">policy solves the linear program of Section 3 offline on the traffic forecast, then serves each event by drawing down the planned allocation, falling back to greedy where the plan is locally exhausted. The plan never sees the realized traffic; events are drawn randomly around the forecast, so the planned policy faces genuine forecast error. A third quantity, the</w:t>
      </w:r>
      <w:r>
        <w:t xml:space="preserve"> </w:t>
      </w:r>
      <w:r>
        <w:rPr>
          <w:b/>
          <w:bCs/>
        </w:rPr>
        <w:t xml:space="preserve">hindsight bound</w:t>
      </w:r>
      <w:r>
        <w:t xml:space="preserve">, is the offline optimum computed on the traffic that actually occurred; no online policy can exceed it.</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Measure (20 replications)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Mean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Range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Revenue lift, planned over greedy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+6.5%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+4.1% to +8.8%</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Expected-click lift, planned over greedy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+22.9% to +40.6%</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Planned revenue as share of hindsight bound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93.8%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 91.7%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Greedy revenue as share of hindsight bound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88.1%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 85.4%</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Quota fill, both policies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100%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all replications</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drawing>
                <wp:inline>
                  <wp:extent cx="5943600" cy="2641600"/>
                  <wp:effectExtent b="0" l="0" r="0" t="0"/>
                  <wp:docPr descr="Figure 3" title="" id="26" name="Picture"/>
                  <a:graphic>
                    <a:graphicData uri="http://schemas.openxmlformats.org/drawingml/2006/picture">
                      <pic:pic>
                        <pic:nvPicPr>
                          <pic:cNvPr descr="figs2col/fig3.png" id="27" name="Picture"/>
                          <pic:cNvPicPr>
                            <a:picLocks noChangeArrowheads="1" noChangeAspect="1"/>
                          </pic:cNvPicPr>
                        </pic:nvPicPr>
                        <pic:blipFill>
                          <a:blip r:embed="rId25"/>
                          <a:stretch>
                            <a:fillRect/>
                          </a:stretch>
                        </pic:blipFill>
                        <pic:spPr bwMode="auto">
                          <a:xfrm>
                            <a:off x="0" y="0"/>
                            <a:ext cx="5943600" cy="2641600"/>
                          </a:xfrm>
                          <a:prstGeom prst="rect">
                            <a:avLst/>
                          </a:prstGeom>
                          <a:noFill/>
                          <a:ln w="9525">
                            <a:noFill/>
                            <a:headEnd/>
                            <a:tailEnd/>
                          </a:ln>
                        </pic:spPr>
                      </pic:pic>
                    </a:graphicData>
                  </a:graphic>
                </wp:inline>
              </w:drawing>
            </w:r>
          </w:p>
        </w:tc>
      </w:tr>
    </w:tbl>
    <w:p>
      <w:pPr>
        <w:pStyle w:val="ImageCaption"/>
        <w:spacing w:before="80" w:after="120" w:line="240" w:lineRule="auto"/>
        <w:jc w:val="center"/>
        <w:keepNext w:val="0"/>
        <w:keepLines/>
        <w:widowControl w:val="1"/>
      </w:pPr>
      <w:r>
        <w:rPr>
          <w:b/>
          <w:i/>
        </w:rPr>
        <w:t>Figure 3.</w:t>
      </w:r>
      <w:r>
        <w:rPr>
          <w:b w:val="0"/>
          <w:i/>
        </w:rPr>
        <w:t xml:space="preserve"> </w:t>
      </w:r>
      <w:r>
        <w:rPr>
          <w:b w:val="0"/>
          <w:i/>
        </w:rPr>
        <w:t>Revenue captured by each policy as a share of the hindsight offline optimum, per replication. Planned allocation dominates greedy serving in all 20 replications; the two distributions do not overlap (planned minimum 91.7%, greedy maximum 91.6%).</w:t>
      </w:r>
    </w:p>
    <w:p>
      <w:pPr>
        <w:pStyle w:val="BodyText"/>
        <w:jc w:val="both"/>
        <w:keepNext w:val="0"/>
        <w:keepLines w:val="0"/>
        <w:widowControl w:val="1"/>
      </w:pPr>
      <w:r>
        <w:t xml:space="preserve">Both policies fill every quota, so the entire gap is</w:t>
      </w:r>
      <w:r>
        <w:t xml:space="preserve"> </w:t>
      </w:r>
      <w:r>
        <w:rPr>
          <w:i/>
          <w:iCs/>
        </w:rPr>
        <w:t xml:space="preserve">pairing quality</w:t>
      </w:r>
      <w:r>
        <w:t xml:space="preserve">: the same impressions, sold to the same campaigns, assigned to different audiences. This also explains why the click lift (33%) exceeds the revenue lift (6.5%): per-impression fees are earned identically by both policies once quotas fill, so planning’s advantage is concentrated wholly in the click-priced component of revenue. In markets weighted further toward performance pricing, the revenue gap widens toward the click gap.</w:t>
      </w:r>
    </w:p>
    <w:p>
      <w:pPr>
        <w:pStyle w:val="BodyText"/>
        <w:jc w:val="both"/>
        <w:keepNext w:val="0"/>
        <w:keepLines w:val="0"/>
        <w:widowControl w:val="1"/>
      </w:pPr>
      <w:r>
        <w:t xml:space="preserve">The simulation carries its own controls. Both policies are verified against the hindsight bound in every replication. On control instances where all campaigns share identical click probabilities, so pairing cannot matter, the measured lift is 0.000%, confirming that the gap measures allocation quality and not an artifact of the harness. And the planned policy’s 93.8% of a bound computed with perfect hindsight shows that forecast noise costs the plan only a few points, the residual that Appendix A.2’s pacing mechanism and the refinement loop exist to absorb.</w:t>
      </w:r>
    </w:p>
    <w:bookmarkEnd w:id="28"/>
    <w:bookmarkStart w:id="29" w:name="a-reference-serving-architecture"/>
    <w:p>
      <w:pPr>
        <w:pStyle w:val="Heading2"/>
        <w:keepNext/>
        <w:keepLines/>
        <w:widowControl w:val="1"/>
      </w:pPr>
      <w:r>
        <w:t xml:space="preserve">8</w:t>
      </w:r>
      <w:r>
        <w:t xml:space="preserve"> </w:t>
      </w:r>
      <w:r>
        <w:t xml:space="preserve">A reference serving architecture</w:t>
      </w:r>
    </w:p>
    <w:p>
      <w:pPr>
        <w:pStyle w:val="FirstParagraph"/>
        <w:jc w:val="both"/>
        <w:keepNext w:val="0"/>
        <w:keepLines w:val="0"/>
        <w:widowControl w:val="1"/>
      </w:pPr>
      <w:r>
        <w:t xml:space="preserve">This section describes the deployment design that motivated the study: an operator-grade two-stage architecture that compiles the allocation plan into constant-time lookup serving. It is a design sketch: the experiments of Sections 4–6 validate the allocation core (plan versus serving policy at segment granularity), not the per-subscriber machinery described here.</w:t>
      </w:r>
    </w:p>
    <w:p>
      <w:pPr>
        <w:pStyle w:val="BodyText"/>
        <w:jc w:val="both"/>
        <w:keepNext w:val="0"/>
        <w:keepLines w:val="0"/>
        <w:widowControl w:val="1"/>
      </w:pPr>
      <w:r>
        <w:t xml:space="preserve">The design targets the operator’s data position. A web ad network observes a browser: a resettable, unverified cookie, activity on the sites it instruments, and demographics inferred by guesswork. A network operator observes a customer: a verified identity anchored in a billing account, declared attributes, financial signals, and, because all browsing crosses the gateway, complete response attribution joined under one stable identifier.</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Dimension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Web ad network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Network operator</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Identity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Cookie or device fingerprint; resettable, unverified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Subscriber account; stable, verified, one per person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Demographics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Inferred from behavior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Declared at subscription: age, gender, address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Financial signal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None or modeled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Plan, spend level, content purchase history</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Location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Coarse, via IP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Network-observed, continuous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Browsing coverage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Sites the network instruments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All traffic through the gateway</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Exposure control</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Per-site frequency caps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Global caps across all inventory, per subscriber</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The vantage point carries obligations that shape the design. Subscriber data is usable for advertising only within a consent and data-protection framework: profiling requires a lawful basis and per-subscriber opt-out under regimes such as the GDPR and ePrivacy rules, and gateway-observed browsing is subject to purpose limitation. The architecture is built for data minimization under those constraints: raw attributes and browsing records are confined to the offline stage, the serving path receives only anonymous cluster distances and campaign eligibility lists, and every online decision reads aggregate tables rather than individual histories. Segment coarseness is itself a privacy parameter: the segments that carry allocation value in Section 5 are a handful of aggregate behavior tiers, not individual dossiers. Not every subscriber has a profile at all: prepaid subscribers may be anonymous, which is why the clustering machinery supports membership computed from response behavior alone (Appendix A.1.3).</w:t>
      </w:r>
    </w:p>
    <w:p>
      <w:pPr>
        <w:pStyle w:val="BodyText"/>
        <w:jc w:val="both"/>
        <w:keepNext w:val="0"/>
        <w:keepLines w:val="0"/>
        <w:widowControl w:val="1"/>
      </w:pPr>
      <w:r>
        <w:t xml:space="preserve">The full serving design is a two-stage architecture. An offline analytics stage learns the plan’s inputs, per-segment traffic forecasts and per-(campaign, segment) click probabilities, from event history, clusters subscribers on behavior, and compiles the resulting plan into compact lookup tables. An online engine then executes one impression at a time in constant time: a seven-step decision reads the pre-computed tables to pick the eligible, quota-remaining campaign whose plan-adjusted score is highest, blends per-cluster click estimates by soft membership, and paces delivery by tracking each campaign against its planned trajectory. Because the offline stage holds all raw attributes while the serving path sees only anonymous cluster distances and eligibility lists, the design realizes the data-minimization posture the operator setting requires. Appendix A gives the full design, its data structures, and the pacing rule; the experiments in this paper exercise the allocation core it compiles, not the per-subscriber serving machinery.</w:t>
      </w:r>
    </w:p>
    <w:bookmarkEnd w:id="29"/>
    <w:bookmarkStart w:id="30" w:name="related-work"/>
    <w:p>
      <w:pPr>
        <w:pStyle w:val="Heading2"/>
        <w:keepNext/>
        <w:keepLines/>
        <w:widowControl w:val="1"/>
      </w:pPr>
      <w:r>
        <w:t xml:space="preserve">9</w:t>
      </w:r>
      <w:r>
        <w:t xml:space="preserve"> </w:t>
      </w:r>
      <w:r>
        <w:t xml:space="preserve">Related work</w:t>
      </w:r>
    </w:p>
    <w:p>
      <w:pPr>
        <w:pStyle w:val="FirstParagraph"/>
        <w:jc w:val="both"/>
        <w:keepNext w:val="0"/>
        <w:keepLines w:val="0"/>
        <w:widowControl w:val="1"/>
      </w:pPr>
      <w:r>
        <w:t xml:space="preserve">The allocation machinery this paper uses, a transportation LP with dual-price pacing, is standard; its contribution sits in five places that the prior literature leaves open, summarized in the table before the discussion.</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ayout w:type="autofit"/>
        <w:tblLook w:firstRow="1" w:lastRow="0" w:firstColumn="0" w:lastColumn="0" w:noHBand="0" w:noVBand="0" w:val="0020"/>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Line of work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Prescribes the</w:t>
            </w:r>
            <w:r>
              <w:rPr>
                <w:rFonts w:ascii="Georgia" w:hAnsi="Georgia"/>
                <w:b/>
                <w:sz w:val="19"/>
              </w:rPr>
              <w:br/>
            </w:r>
            <w:r>
              <w:rPr>
                <w:rFonts w:ascii="Georgia" w:hAnsi="Georgia"/>
                <w:b/>
                <w:sz w:val="19"/>
              </w:rPr>
              <w:t xml:space="preserve">segmentation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Pre-committed,</w:t>
            </w:r>
            <w:r>
              <w:rPr>
                <w:rFonts w:ascii="Georgia" w:hAnsi="Georgia"/>
                <w:b/>
                <w:sz w:val="19"/>
              </w:rPr>
              <w:br/>
            </w:r>
            <w:r>
              <w:rPr>
                <w:rFonts w:ascii="Georgia" w:hAnsi="Georgia"/>
                <w:b/>
                <w:sz w:val="19"/>
              </w:rPr>
              <w:t xml:space="preserve">blind test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Public-log,</w:t>
            </w:r>
            <w:r>
              <w:rPr>
                <w:rFonts w:ascii="Georgia" w:hAnsi="Georgia"/>
                <w:b/>
                <w:sz w:val="19"/>
              </w:rPr>
              <w:br/>
            </w:r>
            <w:r>
              <w:rPr>
                <w:rFonts w:ascii="Georgia" w:hAnsi="Georgia"/>
                <w:b/>
                <w:sz w:val="19"/>
              </w:rPr>
              <w:t xml:space="preserve">hardened OPE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Regime map</w:t>
            </w:r>
            <w:r>
              <w:rPr>
                <w:rFonts w:ascii="Georgia" w:hAnsi="Georgia"/>
                <w:b/>
                <w:sz w:val="19"/>
              </w:rPr>
              <w:br/>
            </w:r>
            <w:r>
              <w:rPr>
                <w:rFonts w:ascii="Georgia" w:hAnsi="Georgia"/>
                <w:b/>
                <w:sz w:val="19"/>
              </w:rPr>
              <w:t xml:space="preserve">(plan vs. adapt)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Revenue with</w:t>
            </w:r>
            <w:r>
              <w:rPr>
                <w:rFonts w:ascii="Georgia" w:hAnsi="Georgia"/>
                <w:b/>
                <w:sz w:val="19"/>
              </w:rPr>
              <w:br/>
            </w:r>
            <w:r>
              <w:rPr>
                <w:rFonts w:ascii="Georgia" w:hAnsi="Georgia"/>
                <w:b/>
                <w:sz w:val="19"/>
              </w:rPr>
              <w:t xml:space="preserve">guarantees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Online matching, AdWords [6, 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Random-permutation online LP [8–10]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Guaranteed display: forecasts, SHALE [11, 12]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Dual mirror descent [21]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Yield optimization, ad exchange [22]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Budget-pacing controllers [13, 14]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This paper</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 addresses the question, ~ partially, blank not addressed. The prior lines take the audience segmentation as given, evaluate on theory or private production data, and do not characterize when a compiled plan beats online adaptation; the guaranteed-delivery and pacing lines share this paper’s revenue-with-penalties objective but not its segmentation rule or its public evaluation. The paragraphs below detail each line.</w:t>
      </w:r>
    </w:p>
    <w:p>
      <w:pPr>
        <w:pStyle w:val="BodyText"/>
        <w:jc w:val="both"/>
        <w:keepNext w:val="0"/>
        <w:keepLines w:val="0"/>
        <w:widowControl w:val="1"/>
      </w:pPr>
      <w:r>
        <w:rPr>
          <w:b/>
          <w:bCs/>
        </w:rPr>
        <w:t xml:space="preserve">Online matching and allocation.</w:t>
      </w:r>
      <w:r>
        <w:t xml:space="preserve"> </w:t>
      </w:r>
      <w:r>
        <w:t xml:space="preserve">The theoretical core of ad allocation is online bipartite matching, from the optimal 1 − 1/e algorithm of Karp, Vazirani, and Vazirani [6] through its budgeted AdWords generalization [7]. Under stochastic arrivals, the random-permutation model admits near-optimal algorithms that learn dual prices from an initial sample [8], and primal-dual training on forecast samples extends to display allocation [9] and general online linear programming [10]. This line of work supplies the adaptive dual-price policy we use as the strong online baseline; our contribution is orthogonal: an empirical account, on public logs, of when a compiled offline plan beats such adaptive methods and what segmentation makes the plan's advantage real.</w:t>
      </w:r>
    </w:p>
    <w:p>
      <w:pPr>
        <w:pStyle w:val="BodyText"/>
        <w:jc w:val="both"/>
        <w:keepNext w:val="0"/>
        <w:keepLines w:val="0"/>
        <w:widowControl w:val="1"/>
      </w:pPr>
      <w:r>
        <w:rPr>
          <w:b/>
          <w:bCs/>
        </w:rPr>
        <w:t xml:space="preserve">Guaranteed display allocation.</w:t>
      </w:r>
      <w:r>
        <w:t xml:space="preserve"> </w:t>
      </w:r>
      <w:r>
        <w:t xml:space="preserve">Closest in spirit are systems that precompute compact allocation plans for guaranteed-delivery display advertising: optimal online assignment with forecasts [11] and the SHALE algorithm [12] both compute offline parameters that a lightweight online server executes, as our architecture does. Those works optimize the plan's representation and solve time; we address the two questions they leave open in deployment: which audience segmentation gives the plan exploitable, durable structure (the persistence rule of Section 5), and how to measure a plan's realized value against strong baselines without an online experiment. Budget-pacing controllers [13, 14] are the production embodiment of the adaptive alternative and correspond to the pacing loop our serving stage carries in Appendix A.2. Relative to this line, our contributions are a pre-committable, falsifiable segmentation test and a public-log evaluation protocol; the architecture itself is a deployment sketch.</w:t>
      </w:r>
    </w:p>
    <w:p>
      <w:pPr>
        <w:pStyle w:val="BodyText"/>
        <w:jc w:val="both"/>
        <w:keepNext w:val="0"/>
        <w:keepLines w:val="0"/>
        <w:widowControl w:val="1"/>
      </w:pPr>
      <w:r>
        <w:rPr>
          <w:b/>
          <w:bCs/>
        </w:rPr>
        <w:t xml:space="preserve">Click prediction and offline evaluation.</w:t>
      </w:r>
      <w:r>
        <w:t xml:space="preserve"> </w:t>
      </w:r>
      <w:r>
        <w:t xml:space="preserve">Industrial click-through-rate modeling ranges from large-scale logistic regression [15] and field-aware factorization machines [16] to attention architectures over user behavior [17, 3]. Our click model is deliberately simpler, hierarchical empirical rates with soft cluster membership, because the architecture consumes any calibrated estimator and the allocation question is about the pairing structure, not the estimator frontier. For evaluation, replay methods [18], counterfactual reasoning in computational advertising [19], and offline A/B testing [20] establish the off-policy toolbox; the dual-model scoring of Section 4 applies the same discipline to allocation policies specifically, where we show single-model replay inflates lift through the plan’s own estimation noise.</w:t>
      </w:r>
    </w:p>
    <w:bookmarkEnd w:id="30"/>
    <w:bookmarkStart w:id="31" w:name="discussion"/>
    <w:p>
      <w:pPr>
        <w:pStyle w:val="Heading2"/>
        <w:keepNext/>
        <w:keepLines/>
        <w:widowControl w:val="1"/>
      </w:pPr>
      <w:r>
        <w:t xml:space="preserve">10</w:t>
      </w:r>
      <w:r>
        <w:t xml:space="preserve"> </w:t>
      </w:r>
      <w:r>
        <w:t xml:space="preserve">Discussion</w:t>
      </w:r>
    </w:p>
    <w:p>
      <w:pPr>
        <w:pStyle w:val="FirstParagraph"/>
        <w:jc w:val="both"/>
        <w:keepNext w:val="0"/>
        <w:keepLines w:val="0"/>
        <w:widowControl w:val="1"/>
      </w:pPr>
      <w:r>
        <w:t xml:space="preserve">Four design principles carry the empirical findings, persistence-chosen segments, solved prices, and a re-solve cadence, into a deployable system.</w:t>
      </w:r>
    </w:p>
    <w:p>
      <w:pPr>
        <w:pStyle w:val="BodyText"/>
        <w:jc w:val="both"/>
        <w:keepNext w:val="0"/>
        <w:keepLines w:val="0"/>
        <w:widowControl w:val="1"/>
      </w:pPr>
      <w:r>
        <w:rPr>
          <w:b/>
          <w:bCs/>
        </w:rPr>
        <w:t xml:space="preserve">The optimization lives where time is cheap.</w:t>
      </w:r>
      <w:r>
        <w:t xml:space="preserve"> </w:t>
      </w:r>
      <w:r>
        <w:t xml:space="preserve">Global allocation over all campaigns and segments is a large linear program, and it is solved where minutes are available, not milliseconds. The serving path touches five small tables and does arithmetic. This is the classic plan/execute split, applied so that the online system inherits the quality of the offline optimum at lookup cost.</w:t>
      </w:r>
    </w:p>
    <w:p>
      <w:pPr>
        <w:pStyle w:val="BodyText"/>
        <w:jc w:val="both"/>
        <w:keepNext w:val="0"/>
        <w:keepLines w:val="0"/>
        <w:widowControl w:val="1"/>
      </w:pPr>
      <w:r>
        <w:rPr>
          <w:b/>
          <w:bCs/>
        </w:rPr>
        <w:t xml:space="preserve">Pooling defeats sparsity.</w:t>
      </w:r>
      <w:r>
        <w:t xml:space="preserve"> </w:t>
      </w:r>
      <w:r>
        <w:t xml:space="preserve">No individual generates enough clicks to estimate their own response rates. Clusters do. Soft membership then re-personalizes the pooled estimates, blending each subscriber’s several behavioral neighborhoods instead of forcing a single label. The same back-off logic handles new campaigns (borrow from similar campaigns) and profile-less subscribers (cluster by response history alone), so one mechanism covers three cold-start problems.</w:t>
      </w:r>
    </w:p>
    <w:p>
      <w:pPr>
        <w:pStyle w:val="BodyText"/>
        <w:jc w:val="both"/>
        <w:keepNext w:val="0"/>
        <w:keepLines w:val="0"/>
        <w:widowControl w:val="1"/>
      </w:pPr>
      <w:r>
        <w:rPr>
          <w:b/>
          <w:bCs/>
        </w:rPr>
        <w:t xml:space="preserve">The plan is a baseline, not a cage.</w:t>
      </w:r>
      <w:r>
        <w:t xml:space="preserve"> </w:t>
      </w:r>
      <w:r>
        <w:t xml:space="preserve">Real traffic never matches the forecast. By carrying planned counts into the serving state and steering with a performance index, the system tolerates forecast error gracefully: small deviations are corrected impression by impression, and persistent ones are evidence, fed back into the next modeling cycle rather than silently accumulated.</w:t>
      </w:r>
    </w:p>
    <w:p>
      <w:pPr>
        <w:pStyle w:val="BodyText"/>
        <w:jc w:val="both"/>
        <w:keepNext w:val="0"/>
        <w:keepLines w:val="0"/>
        <w:widowControl w:val="1"/>
      </w:pPr>
      <w:r>
        <w:rPr>
          <w:b/>
          <w:bCs/>
        </w:rPr>
        <w:t xml:space="preserve">Every representation is serving-shaped.</w:t>
      </w:r>
      <w:r>
        <w:t xml:space="preserve"> </w:t>
      </w:r>
      <w:r>
        <w:t xml:space="preserve">Bit masks make targeting tests branchless; pre-computed distances make personalization a weighted sum; per-(cluster, campaign) rows make pacing a two-row query. The offline stage does not merely produce a model; it compiles one, in the same sense a compiler turns a program into a form the machine executes directly.</w:t>
      </w:r>
    </w:p>
    <w:bookmarkEnd w:id="31"/>
    <w:bookmarkStart w:id="32" w:name="scope-and-assumptions"/>
    <w:p>
      <w:pPr>
        <w:pStyle w:val="Heading2"/>
        <w:keepNext/>
        <w:keepLines/>
        <w:widowControl w:val="1"/>
      </w:pPr>
      <w:r>
        <w:t xml:space="preserve">11</w:t>
      </w:r>
      <w:r>
        <w:t xml:space="preserve"> </w:t>
      </w:r>
      <w:r>
        <w:t xml:space="preserve">Scope and assumptions</w:t>
      </w:r>
    </w:p>
    <w:p>
      <w:pPr>
        <w:pStyle w:val="FirstParagraph"/>
        <w:jc w:val="both"/>
        <w:keepNext w:val="0"/>
        <w:keepLines w:val="0"/>
        <w:widowControl w:val="1"/>
      </w:pPr>
      <w:r>
        <w:t xml:space="preserve">The method is built for operator-owned advertising markets, retail-media networks being the largest contemporary instance and the mobile-operator system that motivated it the originating one, where direct-sold campaigns carry guaranteed impression quotas with makegood penalties, logged-in first-party identity yields audience segments whose campaign-by-segment interaction persists across planning windows, and booked demand meets or exceeds supply on those segments; where any of these conditions fails, in particular where supply dwarfs demand, planning offers little over serving greedily. The conditions are checkable before deployment, and the paper measures each: interaction persistence r ≥ ~0.4 on the chosen axis (Section 5), per-cell planning density near 10</w:t>
      </w:r>
      <w:r>
        <w:rPr>
          <w:vertAlign w:val="superscript"/>
        </w:rPr>
        <w:t xml:space="preserve">3</w:t>
      </w:r>
      <w:r>
        <w:t xml:space="preserve"> </w:t>
      </w:r>
      <w:r>
        <w:t xml:space="preserve">(Algorithm 1), a re-plan cadence at least as fast as portfolio churn (the Avazu boundary), and contention κ</w:t>
      </w:r>
      <w:r>
        <w:rPr>
          <w:vertAlign w:val="subscript"/>
        </w:rPr>
        <w:t xml:space="preserve">s</w:t>
      </w:r>
      <w:r>
        <w:t xml:space="preserve"> </w:t>
      </w:r>
      <w:r>
        <w:t xml:space="preserve">at or above one on the interaction-carrying segments (Algorithm 1, step 6). The three public datasets are positioned accordingly: Taobao is the in-vertical evidence where all conditions hold, Avazu is the churn boundary where a daily plan fails until the cadence shrinks, and Outbrain is the contention boundary where an uncontended market yields little until demand is stressed. The two boundaries are the edges that make the deployment claim falsifiable.</w:t>
      </w:r>
    </w:p>
    <w:p>
      <w:pPr>
        <w:pStyle w:val="BodyText"/>
        <w:jc w:val="both"/>
        <w:keepNext w:val="0"/>
        <w:keepLines w:val="0"/>
        <w:widowControl w:val="1"/>
      </w:pPr>
      <w:r>
        <w:t xml:space="preserve">The architecture optimizes expected revenue for a known campaign portfolio over a planning horizon; it does not address auction-based pricing, real-time bidding against external demand, or creative selection within a campaign. Its guarantees rest on the stability assumptions of Appendix A.1: allocation quality degrades in proportion to how far future traffic and response distributions drift from the modeled ones between refinement cycles, which sets the practical requirement for how frequently the offline stage must re-run. Exposure policy enforcement is per-subscriber and rule-based; richer fatigue models would slot into step 2 without changing the surrounding machinery. Finally, window-fitted planning presumes a campaign portfolio stable over the planning horizon, which is the operator’s contracted-campaign setting; in marketplaces where the ad portfolio and its delivery mix turn over within a day, the re-planning interval must shrink to the churn timescale for the plan to retain value.</w:t>
      </w:r>
    </w:p>
    <w:bookmarkEnd w:id="32"/>
    <w:bookmarkStart w:id="51" w:name="X768eda5dc47c9e2fbd56372e290aa93bfab37c7"/>
    <w:p>
      <w:pPr>
        <w:pStyle w:val="Heading2"/>
        <w:keepNext/>
        <w:keepLines/>
        <w:widowControl w:val="1"/>
      </w:pPr>
      <w:r>
        <w:t xml:space="preserve">Appendix A. Reference serving architecture</w:t>
      </w:r>
    </w:p>
    <w:p>
      <w:pPr>
        <w:pStyle w:val="FirstParagraph"/>
        <w:jc w:val="both"/>
        <w:keepNext w:val="0"/>
        <w:keepLines w:val="0"/>
        <w:widowControl w:val="1"/>
      </w:pPr>
      <w:r>
        <w:t xml:space="preserve">This appendix gives the full deployment design summarized in Section 8: the offline stage that compiles the plan and the online stage that executes it per impression. It is a design sketch; the experiments of Sections 4–6 validate the allocation core it compiles, not the per-subscriber serving machinery detailed here.</w:t>
      </w:r>
    </w:p>
    <w:bookmarkStart w:id="33" w:name="Xa31f11580875970f34b111f76672a43985c73f8"/>
    <w:p>
      <w:pPr>
        <w:pStyle w:val="Heading3"/>
        <w:keepNext/>
        <w:keepLines/>
        <w:widowControl w:val="1"/>
      </w:pPr>
      <w:r>
        <w:t xml:space="preserve">A.1 The offline stage: learning the inputs to the plan</w:t>
      </w:r>
    </w:p>
    <w:p>
      <w:pPr>
        <w:pStyle w:val="FirstParagraph"/>
        <w:jc w:val="both"/>
        <w:keepNext w:val="0"/>
        <w:keepLines w:val="0"/>
        <w:widowControl w:val="1"/>
      </w:pPr>
      <w:r>
        <w:t xml:space="preserve">The allocation program needs two inputs that do not exist in raw data: predicted traffic per segment (</w:t>
      </w:r>
      <w:r>
        <w:rPr>
          <w:i/>
          <w:iCs/>
        </w:rPr>
        <w:t xml:space="preserve">H</w:t>
      </w:r>
      <w:r>
        <w:rPr>
          <w:i/>
          <w:iCs/>
          <w:vertAlign w:val="subscript"/>
        </w:rPr>
        <w:t xml:space="preserve">s</w:t>
      </w:r>
      <w:r>
        <w:t xml:space="preserve">) and click probabilities per campaign-segment pair (</w:t>
      </w:r>
      <w:r>
        <w:rPr>
          <w:i/>
          <w:iCs/>
        </w:rPr>
        <w:t xml:space="preserve">p</w:t>
      </w:r>
      <w:r>
        <w:rPr>
          <w:i/>
          <w:iCs/>
          <w:vertAlign w:val="subscript"/>
        </w:rPr>
        <w:t xml:space="preserve">c,s</w:t>
      </w:r>
      <w:r>
        <w:t xml:space="preserve">). The offline analytics stage builds both from event history, under three modeling assumptions, each holding with high probability rather than certainty:</w:t>
      </w:r>
    </w:p>
    <w:p>
      <w:pPr>
        <w:pStyle w:val="Compact"/>
        <w:numPr>
          <w:ilvl w:val="0"/>
          <w:numId w:val="1002"/>
        </w:numPr>
        <w:ind w:left="360" w:hanging="259"/>
        <w:jc w:val="both"/>
        <w:keepNext w:val="0"/>
        <w:keepLines w:val="0"/>
        <w:widowControl w:val="1"/>
      </w:pPr>
      <w:r>
        <w:t xml:space="preserve">The distribution of (context, profile) pairs observed in the past will recur in the future.</w:t>
      </w:r>
    </w:p>
    <w:p>
      <w:pPr>
        <w:pStyle w:val="Compact"/>
        <w:numPr>
          <w:ilvl w:val="0"/>
          <w:numId w:val="1002"/>
        </w:numPr>
        <w:ind w:left="360" w:hanging="259"/>
        <w:jc w:val="both"/>
        <w:keepNext w:val="0"/>
        <w:keepLines w:val="0"/>
        <w:widowControl w:val="1"/>
      </w:pPr>
      <w:r>
        <w:t xml:space="preserve">Subscribers who responded similarly under similar conditions will continue to respond similarly.</w:t>
      </w:r>
    </w:p>
    <w:p>
      <w:pPr>
        <w:pStyle w:val="Compact"/>
        <w:numPr>
          <w:ilvl w:val="0"/>
          <w:numId w:val="1002"/>
        </w:numPr>
        <w:ind w:left="360" w:hanging="259"/>
        <w:jc w:val="both"/>
        <w:keepNext w:val="0"/>
        <w:keepLines w:val="0"/>
        <w:widowControl w:val="1"/>
      </w:pPr>
      <w:r>
        <w:t xml:space="preserve">Subscribers who respond similarly share something observable in their profiles or histories.</w:t>
      </w:r>
    </w:p>
    <w:p>
      <w:pPr>
        <w:pStyle w:val="FirstParagraph"/>
        <w:jc w:val="both"/>
        <w:keepNext w:val="0"/>
        <w:keepLines w:val="0"/>
        <w:widowControl w:val="1"/>
      </w:pPr>
      <w:r>
        <w:t xml:space="preserve">Assumption 1 justifies forecasting traffic from history; assumptions 2 and 3 justify pooling sparse per-subscriber click data into clusters that have enough volume to estimate probabilities reliably.</w:t>
      </w:r>
    </w:p>
    <w:bookmarkEnd w:id="33"/>
    <w:bookmarkStart w:id="34" w:name="a.1.1-response-records"/>
    <w:p>
      <w:pPr>
        <w:pStyle w:val="Heading3"/>
        <w:keepNext/>
        <w:keepLines/>
        <w:widowControl w:val="1"/>
      </w:pPr>
      <w:r>
        <w:t xml:space="preserve">A.1.1 Response records</w:t>
      </w:r>
    </w:p>
    <w:p>
      <w:pPr>
        <w:pStyle w:val="FirstParagraph"/>
        <w:jc w:val="both"/>
        <w:keepNext w:val="0"/>
        <w:keepLines w:val="0"/>
        <w:widowControl w:val="1"/>
      </w:pPr>
      <w:r>
        <w:t xml:space="preserve">The atomic unit of evidence is an ad response record: who saw what, in what context, and whether they clicked.</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Time of day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Day of week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Content category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Campaign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Click</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11:23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Monday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News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C1 (active)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14:15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Monday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Sport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C2 (active)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18:14</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Sunday</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Sport</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C4 (past)</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Records are grouped per subscriber and joined with the profile (age, gender, location, income band, purchase indicators) where one is available. Past campaigns matter as much as active ones: a subscriber’s reaction to a finished campaign is evidence about how they will react to similar future ones.</w:t>
      </w:r>
    </w:p>
    <w:bookmarkEnd w:id="34"/>
    <w:bookmarkStart w:id="35" w:name="a.1.2-proximity-and-clustering"/>
    <w:p>
      <w:pPr>
        <w:pStyle w:val="Heading3"/>
        <w:keepNext/>
        <w:keepLines/>
        <w:widowControl w:val="1"/>
      </w:pPr>
      <w:r>
        <w:t xml:space="preserve">A.1.2 Proximity and clustering</w:t>
      </w:r>
    </w:p>
    <w:p>
      <w:pPr>
        <w:pStyle w:val="FirstParagraph"/>
        <w:jc w:val="both"/>
        <w:keepNext w:val="0"/>
        <w:keepLines w:val="0"/>
        <w:widowControl w:val="1"/>
      </w:pPr>
      <w:r>
        <w:t xml:space="preserve">Subscribers are clustered by a weighted distance that mixes profile similarity with response-pattern similarity: response to the same campaigns (active and past) and to similar campaigns. Each attribute contributes its own distance component:</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Attribute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Distance component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Age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Absolute difference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Gender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Fixed penalty if different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Campaign affinity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By campaign category; fixed penalty if different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Day of week</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Absolute difference, circular</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Location (x, y)</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Straight-line distance</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Membership is deliberately</w:t>
      </w:r>
      <w:r>
        <w:t xml:space="preserve"> </w:t>
      </w:r>
      <w:r>
        <w:rPr>
          <w:b/>
          <w:bCs/>
        </w:rPr>
        <w:t xml:space="preserve">soft</w:t>
      </w:r>
      <w:r>
        <w:t xml:space="preserve">. A subscriber is not filed into one cluster; they carry a pre-computed distance to each nearby cluster. A 35-year-old married streaming subscriber in a large city may sit at distance 0.8 from the “metropolitan professionals” cluster and 0.1 from “music lovers”; a 22-year-old gaming subscriber in the same city sits close to “gamers” and “music lovers” instead. These distances become interpolation weights at serving time (Appendix A.2), so predictions blend the behavior of every cluster the subscriber resembles.</w:t>
      </w:r>
    </w:p>
    <w:bookmarkEnd w:id="35"/>
    <w:bookmarkStart w:id="36" w:name="X8b2446043a77ae8c428cb2f72851e920fe1c4ed"/>
    <w:p>
      <w:pPr>
        <w:pStyle w:val="Heading3"/>
        <w:keepNext/>
        <w:keepLines/>
        <w:widowControl w:val="1"/>
      </w:pPr>
      <w:r>
        <w:t xml:space="preserve">A.1.3 Cluster representation and click estimation</w:t>
      </w:r>
    </w:p>
    <w:p>
      <w:pPr>
        <w:pStyle w:val="FirstParagraph"/>
        <w:jc w:val="both"/>
        <w:keepNext w:val="0"/>
        <w:keepLines w:val="0"/>
        <w:widowControl w:val="1"/>
      </w:pPr>
      <w:r>
        <w:t xml:space="preserve">Each cluster is summarized by two compact structures. Its</w:t>
      </w:r>
      <w:r>
        <w:t xml:space="preserve"> </w:t>
      </w:r>
      <w:r>
        <w:rPr>
          <w:i/>
          <w:iCs/>
        </w:rPr>
        <w:t xml:space="preserve">context slots</w:t>
      </w:r>
      <w:r>
        <w:t xml:space="preserve"> </w:t>
      </w:r>
      <w:r>
        <w:t xml:space="preserve">describe when and where the cluster generates traffic, with predicted hit counts; this is the supply side</w:t>
      </w:r>
      <w:r>
        <w:t xml:space="preserve"> </w:t>
      </w:r>
      <w:r>
        <w:rPr>
          <w:i/>
          <w:iCs/>
        </w:rPr>
        <w:t xml:space="preserve">H</w:t>
      </w:r>
      <w:r>
        <w:rPr>
          <w:i/>
          <w:iCs/>
          <w:vertAlign w:val="subscript"/>
        </w:rPr>
        <w:t xml:space="preserve">s</w:t>
      </w:r>
      <w:r>
        <w:t xml:space="preserve">. Its</w:t>
      </w:r>
      <w:r>
        <w:t xml:space="preserve"> </w:t>
      </w:r>
      <w:r>
        <w:rPr>
          <w:i/>
          <w:iCs/>
        </w:rPr>
        <w:t xml:space="preserve">click statistics</w:t>
      </w:r>
      <w:r>
        <w:t xml:space="preserve"> </w:t>
      </w:r>
      <w:r>
        <w:t xml:space="preserve">record impressions and clicks per campaign per context slot, the raw material for</w:t>
      </w:r>
      <w:r>
        <w:t xml:space="preserve"> </w:t>
      </w:r>
      <w:r>
        <w:rPr>
          <w:i/>
          <w:iCs/>
        </w:rPr>
        <w:t xml:space="preserve">p</w:t>
      </w:r>
      <w:r>
        <w:rPr>
          <w:i/>
          <w:iCs/>
          <w:vertAlign w:val="subscript"/>
        </w:rPr>
        <w:t xml:space="preserve">c,s</w:t>
      </w:r>
      <w:r>
        <w:t xml:space="preserve">:</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Context slot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Time of day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Day of week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Category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Predicted hits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CS1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10:00–12:00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Mon–Tue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News, Sport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3,000</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CS2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11:00–17:00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Sun</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Sport</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4,000</w:t>
            </w:r>
          </w:p>
        </w:tc>
      </w:tr>
    </w:tbl>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Campaign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Context slot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Impressions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Clicks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CS1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CS2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2,000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CS1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1,000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7</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For a brand-new campaign with no history of its own, probabilities are borrowed from the most similar past or active campaigns in the same category, the same pooling idea applied across campaigns instead of across subscribers. Where the profile itself is missing (anonymous or prepaid subscribers), distance to clusters is computed from response history alone, and the subscriber inherits the response statistics of the cluster they behave like. The design degrades gracefully as data thins out: per-subscriber evidence backs off to cluster evidence, and per-campaign evidence backs off to category evidence.</w:t>
      </w:r>
    </w:p>
    <w:bookmarkEnd w:id="36"/>
    <w:bookmarkStart w:id="37" w:name="X2728b61a2ed01e7aae0fb7efa1e42ffc1e64944"/>
    <w:p>
      <w:pPr>
        <w:pStyle w:val="Heading3"/>
        <w:keepNext/>
        <w:keepLines/>
        <w:widowControl w:val="1"/>
      </w:pPr>
      <w:r>
        <w:t xml:space="preserve">A.1.4 Compiling the plan into lookup tables</w:t>
      </w:r>
    </w:p>
    <w:p>
      <w:pPr>
        <w:pStyle w:val="FirstParagraph"/>
        <w:jc w:val="both"/>
        <w:keepNext w:val="0"/>
        <w:keepLines w:val="0"/>
        <w:widowControl w:val="1"/>
      </w:pPr>
      <w:r>
        <w:t xml:space="preserve">Solving the allocation program yields planned impression counts per (campaign, cluster, context slot). Everything the online server needs is then flattened into three lookup structures, so that no clustering, no distance computation, and no optimization happens on the serving path:</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Structure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Keyed by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Contents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Model table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cluster × campaign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Targeted time slots and content categories as bit masks; planned impressions; expected clicks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Match table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subscriber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Campaigns this subscriber is eligible for under targeting rules</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Cluster table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subscriber</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Distance to each nearby cluster (the soft-membership weights)</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Time and content targeting are encoded as fixed-width bit masks, 168 weekly hour-slots and up to 256 content categories, so an eligibility test at serving time is a bitwise AND rather than a rule evaluation. A model table row reads, in full:</w:t>
      </w:r>
      <w:r>
        <w:t xml:space="preserve"> </w:t>
      </w:r>
      <w:r>
        <w:rPr>
          <w:i/>
          <w:iCs/>
        </w:rPr>
        <w:t xml:space="preserve">“cluster L1, campaign C1, time mask 0100…, content mask 1111…, 10,000 planned impressions, 450 expected clicks.”</w:t>
      </w:r>
      <w:r>
        <w:t xml:space="preserve"> </w:t>
      </w:r>
      <w:r>
        <w:t xml:space="preserve">That one row carries targeting, allocation, and the performance baseline the online stage will pace against.</w:t>
      </w:r>
    </w:p>
    <w:bookmarkEnd w:id="37"/>
    <w:bookmarkStart w:id="41" w:name="X4b4881ba4a2c69f1986b51a46ce2020ac7b4091"/>
    <w:p>
      <w:pPr>
        <w:pStyle w:val="Heading3"/>
        <w:keepNext/>
        <w:keepLines/>
        <w:widowControl w:val="1"/>
      </w:pPr>
      <w:r>
        <w:t xml:space="preserve">A.2 The online stage: executing the plan in real time</w:t>
      </w:r>
    </w:p>
    <w:p>
      <w:pPr>
        <w:pStyle w:val="FirstParagraph"/>
        <w:jc w:val="both"/>
        <w:keepNext w:val="0"/>
        <w:keepLines w:val="0"/>
        <w:widowControl w:val="1"/>
      </w:pPr>
      <w:r>
        <w:t xml:space="preserve">At serving time an impression event arrives carrying a subscriber identifier and a context (time, day, content category of the page being viewed). The decision engine must return a single campaign within the latency budget of a page load. It consults the three model structures plus two live state tables: a</w:t>
      </w:r>
      <w:r>
        <w:t xml:space="preserve"> </w:t>
      </w:r>
      <w:r>
        <w:rPr>
          <w:b/>
          <w:bCs/>
        </w:rPr>
        <w:t xml:space="preserve">status table</w:t>
      </w:r>
      <w:r>
        <w:t xml:space="preserve"> </w:t>
      </w:r>
      <w:r>
        <w:t xml:space="preserve">mirroring the model table but accumulating</w:t>
      </w:r>
      <w:r>
        <w:t xml:space="preserve"> </w:t>
      </w:r>
      <w:r>
        <w:rPr>
          <w:i/>
          <w:iCs/>
        </w:rPr>
        <w:t xml:space="preserve">actual</w:t>
      </w:r>
      <w:r>
        <w:t xml:space="preserve"> </w:t>
      </w:r>
      <w:r>
        <w:t xml:space="preserve">impressions and clicks, and a</w:t>
      </w:r>
      <w:r>
        <w:t xml:space="preserve"> </w:t>
      </w:r>
      <w:r>
        <w:rPr>
          <w:b/>
          <w:bCs/>
        </w:rPr>
        <w:t xml:space="preserve">response table</w:t>
      </w:r>
      <w:r>
        <w:t xml:space="preserve"> </w:t>
      </w:r>
      <w:r>
        <w:t xml:space="preserve">holding each subscriber’s recent exposure records.</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drawing>
                <wp:inline>
                  <wp:extent cx="5943600" cy="1981200"/>
                  <wp:effectExtent b="0" l="0" r="0" t="0"/>
                  <wp:docPr descr="Figure 4" title="" id="39" name="Picture"/>
                  <a:graphic>
                    <a:graphicData uri="http://schemas.openxmlformats.org/drawingml/2006/picture">
                      <pic:pic>
                        <pic:nvPicPr>
                          <pic:cNvPr descr="figs2col/fig4.png" id="40" name="Picture"/>
                          <pic:cNvPicPr>
                            <a:picLocks noChangeArrowheads="1" noChangeAspect="1"/>
                          </pic:cNvPicPr>
                        </pic:nvPicPr>
                        <pic:blipFill>
                          <a:blip r:embed="rId38"/>
                          <a:stretch>
                            <a:fillRect/>
                          </a:stretch>
                        </pic:blipFill>
                        <pic:spPr bwMode="auto">
                          <a:xfrm>
                            <a:off x="0" y="0"/>
                            <a:ext cx="5943600" cy="1981200"/>
                          </a:xfrm>
                          <a:prstGeom prst="rect">
                            <a:avLst/>
                          </a:prstGeom>
                          <a:noFill/>
                          <a:ln w="9525">
                            <a:noFill/>
                            <a:headEnd/>
                            <a:tailEnd/>
                          </a:ln>
                        </pic:spPr>
                      </pic:pic>
                    </a:graphicData>
                  </a:graphic>
                </wp:inline>
              </w:drawing>
            </w:r>
          </w:p>
        </w:tc>
      </w:tr>
    </w:tbl>
    <w:p>
      <w:pPr>
        <w:pStyle w:val="ImageCaption"/>
        <w:spacing w:before="80" w:after="120" w:line="240" w:lineRule="auto"/>
        <w:jc w:val="center"/>
        <w:keepNext w:val="0"/>
        <w:keepLines/>
        <w:widowControl w:val="1"/>
      </w:pPr>
      <w:r>
        <w:rPr>
          <w:b/>
          <w:i/>
        </w:rPr>
        <w:t>Figure 4.</w:t>
      </w:r>
      <w:r>
        <w:rPr>
          <w:b w:val="0"/>
          <w:i/>
        </w:rPr>
        <w:t xml:space="preserve"> </w:t>
      </w:r>
      <w:r>
        <w:rPr>
          <w:b w:val="0"/>
          <w:i/>
        </w:rPr>
        <w:t>The closed loop. Offline analytics compiles the model and allocation plan into lookup tables; the online engine executes them per impression and streams response records back, which the next analytics cycle uses to refine clusters, probabilities, and the plan.</w:t>
      </w:r>
    </w:p>
    <w:bookmarkEnd w:id="41"/>
    <w:bookmarkStart w:id="45" w:name="a.2.1-the-seven-step-decision"/>
    <w:p>
      <w:pPr>
        <w:pStyle w:val="Heading3"/>
        <w:keepNext/>
        <w:keepLines/>
        <w:widowControl w:val="1"/>
      </w:pPr>
      <w:r>
        <w:t xml:space="preserve">A.2.1 The seven-step decision</w:t>
      </w:r>
    </w:p>
    <w:p>
      <w:pPr>
        <w:pStyle w:val="Compact"/>
        <w:numPr>
          <w:ilvl w:val="0"/>
          <w:numId w:val="1003"/>
        </w:numPr>
        <w:ind w:left="360" w:hanging="259"/>
        <w:jc w:val="both"/>
        <w:keepNext w:val="0"/>
        <w:keepLines w:val="0"/>
        <w:widowControl w:val="1"/>
      </w:pPr>
      <w:r>
        <w:rPr>
          <w:b/>
          <w:bCs/>
        </w:rPr>
        <w:t xml:space="preserve">Find eligible campaigns</w:t>
      </w:r>
      <w:r>
        <w:t xml:space="preserve">match table</w:t>
      </w:r>
      <w:r>
        <w:t xml:space="preserve"> </w:t>
      </w:r>
      <w:r>
        <w:t xml:space="preserve">Look up the campaigns this subscriber may be shown under targeting rules.</w:t>
      </w:r>
    </w:p>
    <w:p>
      <w:pPr>
        <w:pStyle w:val="Compact"/>
        <w:numPr>
          <w:ilvl w:val="0"/>
          <w:numId w:val="1003"/>
        </w:numPr>
        <w:ind w:left="360" w:hanging="259"/>
        <w:jc w:val="both"/>
        <w:keepNext w:val="0"/>
        <w:keepLines w:val="0"/>
        <w:widowControl w:val="1"/>
      </w:pPr>
      <w:r>
        <w:rPr>
          <w:b/>
          <w:bCs/>
        </w:rPr>
        <w:t xml:space="preserve">Apply exposure policy</w:t>
      </w:r>
      <w:r>
        <w:t xml:space="preserve">response table</w:t>
      </w:r>
      <w:r>
        <w:t xml:space="preserve"> </w:t>
      </w:r>
      <w:r>
        <w:t xml:space="preserve">Drop campaigns that would violate frequency rules for this subscriber, a minimum interval between exposures, a maximum number of exposures per day.</w:t>
      </w:r>
    </w:p>
    <w:p>
      <w:pPr>
        <w:pStyle w:val="Compact"/>
        <w:numPr>
          <w:ilvl w:val="0"/>
          <w:numId w:val="1003"/>
        </w:numPr>
        <w:ind w:left="360" w:hanging="259"/>
        <w:jc w:val="both"/>
        <w:keepNext w:val="0"/>
        <w:keepLines w:val="0"/>
        <w:widowControl w:val="1"/>
      </w:pPr>
      <w:r>
        <w:rPr>
          <w:b/>
          <w:bCs/>
        </w:rPr>
        <w:t xml:space="preserve">Fetch cluster distances</w:t>
      </w:r>
      <w:r>
        <w:t xml:space="preserve">cluster table</w:t>
      </w:r>
      <w:r>
        <w:t xml:space="preserve"> </w:t>
      </w:r>
      <w:r>
        <w:t xml:space="preserve">Retrieve the subscriber’s pre-computed distances to nearby clusters.</w:t>
      </w:r>
    </w:p>
    <w:p>
      <w:pPr>
        <w:pStyle w:val="Compact"/>
        <w:numPr>
          <w:ilvl w:val="0"/>
          <w:numId w:val="1003"/>
        </w:numPr>
        <w:ind w:left="360" w:hanging="259"/>
        <w:jc w:val="both"/>
        <w:keepNext w:val="0"/>
        <w:keepLines w:val="0"/>
        <w:widowControl w:val="1"/>
      </w:pPr>
      <w:r>
        <w:rPr>
          <w:b/>
          <w:bCs/>
        </w:rPr>
        <w:t xml:space="preserve">Predict click probability per candidate</w:t>
      </w:r>
      <w:r>
        <w:t xml:space="preserve">model table</w:t>
      </w:r>
      <w:r>
        <w:t xml:space="preserve"> </w:t>
      </w:r>
      <w:r>
        <w:t xml:space="preserve">Blend cluster-level click rates with the soft-membership weights (Appendix A.2.2).</w:t>
      </w:r>
    </w:p>
    <w:p>
      <w:pPr>
        <w:pStyle w:val="Compact"/>
        <w:numPr>
          <w:ilvl w:val="0"/>
          <w:numId w:val="1003"/>
        </w:numPr>
        <w:ind w:left="360" w:hanging="259"/>
        <w:jc w:val="both"/>
        <w:keepNext w:val="0"/>
        <w:keepLines w:val="0"/>
        <w:widowControl w:val="1"/>
      </w:pPr>
      <w:r>
        <w:rPr>
          <w:b/>
          <w:bCs/>
        </w:rPr>
        <w:t xml:space="preserve">Compute pacing per candidate</w:t>
      </w:r>
      <w:r>
        <w:t xml:space="preserve">status table</w:t>
      </w:r>
      <w:r>
        <w:t xml:space="preserve"> </w:t>
      </w:r>
      <w:r>
        <w:t xml:space="preserve">Compare actual delivery against plan, prorated to this point in the flight (Appendix A.2.3).</w:t>
      </w:r>
    </w:p>
    <w:p>
      <w:pPr>
        <w:pStyle w:val="Compact"/>
        <w:numPr>
          <w:ilvl w:val="0"/>
          <w:numId w:val="1003"/>
        </w:numPr>
        <w:ind w:left="360" w:hanging="259"/>
        <w:jc w:val="both"/>
        <w:keepNext w:val="0"/>
        <w:keepLines w:val="0"/>
        <w:widowControl w:val="1"/>
      </w:pPr>
      <w:r>
        <w:rPr>
          <w:b/>
          <w:bCs/>
        </w:rPr>
        <w:t xml:space="preserve">Decide</w:t>
      </w:r>
      <w:r>
        <w:t xml:space="preserve"> </w:t>
      </w:r>
      <w:r>
        <w:t xml:space="preserve">If any campaign is critically underserved, serve it. Otherwise drop overserved campaigns and serve the candidate with the greatest expected revenue.</w:t>
      </w:r>
    </w:p>
    <w:p>
      <w:pPr>
        <w:pStyle w:val="Compact"/>
        <w:numPr>
          <w:ilvl w:val="0"/>
          <w:numId w:val="1003"/>
        </w:numPr>
        <w:ind w:left="360" w:hanging="259"/>
        <w:jc w:val="both"/>
        <w:keepNext w:val="0"/>
        <w:keepLines w:val="0"/>
        <w:widowControl w:val="1"/>
      </w:pPr>
      <w:r>
        <w:rPr>
          <w:b/>
          <w:bCs/>
        </w:rPr>
        <w:t xml:space="preserve">Update state</w:t>
      </w:r>
      <w:r>
        <w:t xml:space="preserve">status + response tables</w:t>
      </w:r>
      <w:r>
        <w:t xml:space="preserve"> </w:t>
      </w:r>
      <w:r>
        <w:t xml:space="preserve">Increment the served campaign’s actual counters and append the exposure record, which later feeds back to analytics.</w:t>
      </w:r>
    </w:p>
    <w:p>
      <w:pPr>
        <w:pStyle w:val="FirstParagraph"/>
        <w:jc w:val="both"/>
        <w:keepNext w:val="0"/>
        <w:keepLines w:val="0"/>
        <w:widowControl w:val="1"/>
      </w:pPr>
      <w:r>
        <w:t xml:space="preserve">Every step is a keyed lookup, a bit-mask test, or arithmetic over a handful of rows. The expensive work (clustering, probability estimation, optimization) was all paid for offline.</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drawing>
                <wp:inline>
                  <wp:extent cx="5943600" cy="3070860"/>
                  <wp:effectExtent b="0" l="0" r="0" t="0"/>
                  <wp:docPr descr="Figure 5" title="" id="43" name="Picture"/>
                  <a:graphic>
                    <a:graphicData uri="http://schemas.openxmlformats.org/drawingml/2006/picture">
                      <pic:pic>
                        <pic:nvPicPr>
                          <pic:cNvPr descr="figs2col/fig5.png" id="44" name="Picture"/>
                          <pic:cNvPicPr>
                            <a:picLocks noChangeArrowheads="1" noChangeAspect="1"/>
                          </pic:cNvPicPr>
                        </pic:nvPicPr>
                        <pic:blipFill>
                          <a:blip r:embed="rId42"/>
                          <a:stretch>
                            <a:fillRect/>
                          </a:stretch>
                        </pic:blipFill>
                        <pic:spPr bwMode="auto">
                          <a:xfrm>
                            <a:off x="0" y="0"/>
                            <a:ext cx="5943600" cy="3070860"/>
                          </a:xfrm>
                          <a:prstGeom prst="rect">
                            <a:avLst/>
                          </a:prstGeom>
                          <a:noFill/>
                          <a:ln w="9525">
                            <a:noFill/>
                            <a:headEnd/>
                            <a:tailEnd/>
                          </a:ln>
                        </pic:spPr>
                      </pic:pic>
                    </a:graphicData>
                  </a:graphic>
                </wp:inline>
              </w:drawing>
            </w:r>
          </w:p>
        </w:tc>
      </w:tr>
    </w:tbl>
    <w:p>
      <w:pPr>
        <w:pStyle w:val="ImageCaption"/>
        <w:spacing w:before="80" w:after="120" w:line="240" w:lineRule="auto"/>
        <w:jc w:val="center"/>
        <w:keepNext w:val="0"/>
        <w:keepLines/>
        <w:widowControl w:val="1"/>
      </w:pPr>
      <w:r>
        <w:rPr>
          <w:b/>
          <w:i/>
        </w:rPr>
        <w:t>Figure 5.</w:t>
      </w:r>
      <w:r>
        <w:rPr>
          <w:b w:val="0"/>
          <w:i/>
        </w:rPr>
        <w:t xml:space="preserve"> </w:t>
      </w:r>
      <w:r>
        <w:rPr>
          <w:b w:val="0"/>
          <w:i/>
        </w:rPr>
        <w:t>The seven-step decision path and its data dependencies. Steps 1–5 each read one pre-computed or live table; step 6 is pure arithmetic over the candidates; step 7 writes the served impression back into the status and response tables, which is also the record that feeds the next offline refinement cycle.</w:t>
      </w:r>
    </w:p>
    <w:bookmarkEnd w:id="45"/>
    <w:bookmarkStart w:id="46" w:name="X177b7c0bc4741b5b22d40a3d16b0d67309e222e"/>
    <w:p>
      <w:pPr>
        <w:pStyle w:val="Heading3"/>
        <w:keepNext/>
        <w:keepLines/>
        <w:widowControl w:val="1"/>
      </w:pPr>
      <w:r>
        <w:t xml:space="preserve">A.2.2 Click prediction by soft membership</w:t>
      </w:r>
    </w:p>
    <w:p>
      <w:pPr>
        <w:pStyle w:val="FirstParagraph"/>
        <w:jc w:val="both"/>
        <w:keepNext w:val="0"/>
        <w:keepLines w:val="0"/>
        <w:widowControl w:val="1"/>
      </w:pPr>
      <w:r>
        <w:t xml:space="preserve">Suppose the event context is</w:t>
      </w:r>
      <w:r>
        <w:t xml:space="preserve"> </w:t>
      </w:r>
      <w:r>
        <w:rPr>
          <w:i/>
          <w:iCs/>
        </w:rPr>
        <w:t xml:space="preserve">Monday, 14:00, Sport</w:t>
      </w:r>
      <w:r>
        <w:t xml:space="preserve"> </w:t>
      </w:r>
      <w:r>
        <w:t xml:space="preserve">and the subscriber sits at weight 0.2 to cluster L1 and 0.8 to cluster L2 (weights derived from the stored distances). The model table gives campaign C1’s historical rates in the matching context: 40 clicks per 8,000 impressions in L1 and 60 per 10,000 in L2. The prediction is the weighted blend:</w:t>
      </w:r>
    </w:p>
    <w:p>
      <w:pPr>
        <w:pStyle w:val="BodyText"/>
        <w:jc w:val="both"/>
        <w:keepNext w:val="0"/>
        <w:keepLines w:val="0"/>
        <w:widowControl w:val="1"/>
      </w:pPr>
      <w:r>
        <w:t xml:space="preserve">p(click | C1) = 0.2 · (40 / 8,000) + 0.8 · (60 / 10,000) = 0.0058</w:t>
      </w:r>
    </w:p>
    <w:p>
      <w:pPr>
        <w:pStyle w:val="BodyText"/>
        <w:jc w:val="both"/>
        <w:keepNext w:val="0"/>
        <w:keepLines w:val="0"/>
        <w:widowControl w:val="1"/>
      </w:pPr>
      <w:r>
        <w:t xml:space="preserve">Because the subscriber borrows from every cluster they resemble, the estimate is stable even for subscribers with thin personal histories, and it is computed from two table rows and four multiplications.</w:t>
      </w:r>
    </w:p>
    <w:bookmarkEnd w:id="46"/>
    <w:bookmarkStart w:id="50" w:name="a.2.3-pacing-planned-versus-actual"/>
    <w:p>
      <w:pPr>
        <w:pStyle w:val="Heading3"/>
        <w:keepNext/>
        <w:keepLines/>
        <w:widowControl w:val="1"/>
      </w:pPr>
      <w:r>
        <w:t xml:space="preserve">A.2.3 Pacing: planned versus actual</w:t>
      </w:r>
    </w:p>
    <w:p>
      <w:pPr>
        <w:pStyle w:val="FirstParagraph"/>
        <w:jc w:val="both"/>
        <w:keepNext w:val="0"/>
        <w:keepLines w:val="0"/>
        <w:widowControl w:val="1"/>
      </w:pPr>
      <w:r>
        <w:t xml:space="preserve">The plan is a trajectory, not just a total. If a campaign is one third of the way through its flight in a given cluster, it should have received roughly one third of its planned impressions there. The engine aggregates this across the clusters where the campaign runs:</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Cluster</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Flight elapsed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Planned by now</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Actual</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L1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8,000 × 0.33 = 2,640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2,000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L2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10,000 × 0.50 = 5,000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5,100</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Total</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7,640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7,100</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performance index = actual / planned-by-now = 7,100 / 7,640 ≈ 93%</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drawing>
                <wp:inline>
                  <wp:extent cx="5943600" cy="2311400"/>
                  <wp:effectExtent b="0" l="0" r="0" t="0"/>
                  <wp:docPr descr="Figure 6" title="" id="48" name="Picture"/>
                  <a:graphic>
                    <a:graphicData uri="http://schemas.openxmlformats.org/drawingml/2006/picture">
                      <pic:pic>
                        <pic:nvPicPr>
                          <pic:cNvPr descr="figs2col/fig6.png" id="49" name="Picture"/>
                          <pic:cNvPicPr>
                            <a:picLocks noChangeArrowheads="1" noChangeAspect="1"/>
                          </pic:cNvPicPr>
                        </pic:nvPicPr>
                        <pic:blipFill>
                          <a:blip r:embed="rId47"/>
                          <a:stretch>
                            <a:fillRect/>
                          </a:stretch>
                        </pic:blipFill>
                        <pic:spPr bwMode="auto">
                          <a:xfrm>
                            <a:off x="0" y="0"/>
                            <a:ext cx="5943600" cy="2311400"/>
                          </a:xfrm>
                          <a:prstGeom prst="rect">
                            <a:avLst/>
                          </a:prstGeom>
                          <a:noFill/>
                          <a:ln w="9525">
                            <a:noFill/>
                            <a:headEnd/>
                            <a:tailEnd/>
                          </a:ln>
                        </pic:spPr>
                      </pic:pic>
                    </a:graphicData>
                  </a:graphic>
                </wp:inline>
              </w:drawing>
            </w:r>
          </w:p>
        </w:tc>
      </w:tr>
    </w:tbl>
    <w:p>
      <w:pPr>
        <w:pStyle w:val="ImageCaption"/>
        <w:spacing w:before="80" w:after="120" w:line="240" w:lineRule="auto"/>
        <w:jc w:val="center"/>
        <w:keepNext w:val="0"/>
        <w:keepLines/>
        <w:widowControl w:val="1"/>
      </w:pPr>
      <w:r>
        <w:rPr>
          <w:b/>
          <w:i/>
        </w:rPr>
        <w:t>Figure 6.</w:t>
      </w:r>
      <w:r>
        <w:rPr>
          <w:b w:val="0"/>
          <w:i/>
        </w:rPr>
        <w:t xml:space="preserve"> </w:t>
      </w:r>
      <w:r>
        <w:rPr>
          <w:b w:val="0"/>
          <w:i/>
        </w:rPr>
        <w:t>Pacing as trajectory tracking. The plan implies a cumulative delivery path; actual delivery drifts below it, the performance index measures the gap at the current moment, and the decision rule favors the lagging campaign on suitable impressions until the curves reconverge.</w:t>
      </w:r>
    </w:p>
    <w:p>
      <w:pPr>
        <w:pStyle w:val="BodyText"/>
        <w:jc w:val="both"/>
        <w:keepNext w:val="0"/>
        <w:keepLines w:val="0"/>
        <w:widowControl w:val="1"/>
      </w:pPr>
      <w:r>
        <w:t xml:space="preserve">An index near 100% means the campaign is on plan. Far below a threshold (say 50%), the campaign is critically underserved and jumps the queue (step 6); far above another (say 120%), it is overserved and stands aside. Between the thresholds, campaigns compete on the same per-impression value the plan optimizes, expected revenue = impression price + click price × P(click):</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Campaign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Impression price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Click price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Perf. index</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P(click)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Expected revenue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0.01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$0.110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$0.80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91%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0.03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$0.124</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$1.50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96%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$0.130</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C4</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$0.10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$1.00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128%</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0.07</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$0.170</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C4 carries the greatest expected revenue but sits at 128% of plan, past the overserved threshold, so it is dropped; C1 at 55% is behind plan but above the critical threshold, so it earns no override. Among the remaining candidates the engine serves C3, the greatest expected revenue for this impression. The pacing mechanism is what lets a static offline plan survive contact with real, noisy traffic: the plan sets the destination, and the index steers thousands of small per-impression corrections toward it. Deviations that pacing cannot absorb (a traffic forecast that proves wrong, a campaign that outperforms its category prior) are exactly what the feedback loop carries back into the next planning cycle.</w:t>
      </w:r>
    </w:p>
    <w:bookmarkEnd w:id="50"/>
    <w:bookmarkEnd w:id="51"/>
    <w:bookmarkStart w:id="52" w:name="references"/>
    <w:p>
      <w:pPr>
        <w:pStyle w:val="ReferencesHeading"/>
        <w:jc w:val="left"/>
        <w:keepNext/>
        <w:keepLines/>
        <w:widowControl w:val="1"/>
      </w:pPr>
      <w:r>
        <w:t xml:space="preserve">References</w:t>
      </w:r>
    </w:p>
    <w:p>
      <w:pPr>
        <w:pStyle w:val="ReferenceEntry"/>
        <w:spacing w:after="100"/>
        <w:ind w:left="475" w:hanging="475"/>
        <w:jc w:val="left"/>
        <w:keepNext w:val="0"/>
        <w:keepLines w:val="0"/>
        <w:widowControl w:val="1"/>
      </w:pPr>
      <w:r>
        <w:rPr>
          <w:rFonts w:ascii="Georgia" w:hAnsi="Georgia"/>
          <w:sz w:val="18"/>
        </w:rPr>
        <w:t xml:space="preserve">1. </w:t>
      </w:r>
      <w:r>
        <w:t xml:space="preserve">Q. Huangfu and J. A. J. Hall. Parallelizing the dual revised simplex method.</w:t>
      </w:r>
      <w:r>
        <w:t xml:space="preserve"> </w:t>
      </w:r>
      <w:r>
        <w:rPr>
          <w:i/>
          <w:iCs/>
        </w:rPr>
        <w:t xml:space="preserve">Mathematical Programming Computation</w:t>
      </w:r>
      <w:r>
        <w:t xml:space="preserve">, 10(1):119–142, 2018.</w:t>
      </w:r>
    </w:p>
    <w:p>
      <w:pPr>
        <w:pStyle w:val="ReferenceEntry"/>
        <w:spacing w:after="100"/>
        <w:ind w:left="475" w:hanging="475"/>
        <w:jc w:val="left"/>
        <w:keepNext w:val="0"/>
        <w:keepLines w:val="0"/>
        <w:widowControl w:val="1"/>
      </w:pPr>
      <w:r>
        <w:rPr>
          <w:rFonts w:ascii="Georgia" w:hAnsi="Georgia"/>
          <w:sz w:val="18"/>
        </w:rPr>
        <w:t xml:space="preserve">2. </w:t>
      </w:r>
      <w:r>
        <w:t xml:space="preserve">Alibaba Tianchi. Ad Display/Click Data on Taobao.com. Dataset 56, tianchi.aliyun.com/dataset/56, accessed August 2026.</w:t>
      </w:r>
    </w:p>
    <w:p>
      <w:pPr>
        <w:pStyle w:val="ReferenceEntry"/>
        <w:spacing w:after="100"/>
        <w:ind w:left="475" w:hanging="475"/>
        <w:jc w:val="left"/>
        <w:keepNext w:val="0"/>
        <w:keepLines w:val="0"/>
        <w:widowControl w:val="1"/>
      </w:pPr>
      <w:r>
        <w:rPr>
          <w:rFonts w:ascii="Georgia" w:hAnsi="Georgia"/>
          <w:sz w:val="18"/>
        </w:rPr>
        <w:t xml:space="preserve">3. </w:t>
      </w:r>
      <w:r>
        <w:t xml:space="preserve">Y. Feng, F. Lv, W. Shen, M. Wang, F. Sun, Y. Zhu, and K. Yang. Deep Session Interest Network for Click-Through Rate Prediction. In</w:t>
      </w:r>
      <w:r>
        <w:t xml:space="preserve"> </w:t>
      </w:r>
      <w:r>
        <w:rPr>
          <w:i/>
          <w:iCs/>
        </w:rPr>
        <w:t xml:space="preserve">Proceedings of IJCAI</w:t>
      </w:r>
      <w:r>
        <w:t xml:space="preserve">, pages 2301–2307, 2019.</w:t>
      </w:r>
    </w:p>
    <w:p>
      <w:pPr>
        <w:pStyle w:val="ReferenceEntry"/>
        <w:spacing w:after="100"/>
        <w:ind w:left="475" w:hanging="475"/>
        <w:jc w:val="left"/>
        <w:keepNext w:val="0"/>
        <w:keepLines w:val="0"/>
        <w:widowControl w:val="1"/>
      </w:pPr>
      <w:r>
        <w:rPr>
          <w:rFonts w:ascii="Georgia" w:hAnsi="Georgia"/>
          <w:sz w:val="18"/>
        </w:rPr>
        <w:t xml:space="preserve">4. </w:t>
      </w:r>
      <w:r>
        <w:t xml:space="preserve">Avazu. Click-Through Rate Prediction. Kaggle competition, kaggle.com/c/avazu-ctr-prediction, 2014, accessed August 2026.</w:t>
      </w:r>
    </w:p>
    <w:p>
      <w:pPr>
        <w:pStyle w:val="ReferenceEntry"/>
        <w:spacing w:after="100"/>
        <w:ind w:left="475" w:hanging="475"/>
        <w:jc w:val="left"/>
        <w:keepNext w:val="0"/>
        <w:keepLines w:val="0"/>
        <w:widowControl w:val="1"/>
      </w:pPr>
      <w:r>
        <w:rPr>
          <w:rFonts w:ascii="Georgia" w:hAnsi="Georgia"/>
          <w:sz w:val="18"/>
        </w:rPr>
        <w:t xml:space="preserve">5. </w:t>
      </w:r>
      <w:r>
        <w:t xml:space="preserve">A. Mehta. Online Matching and Ad Allocation.</w:t>
      </w:r>
      <w:r>
        <w:t xml:space="preserve"> </w:t>
      </w:r>
      <w:r>
        <w:rPr>
          <w:i/>
          <w:iCs/>
        </w:rPr>
        <w:t xml:space="preserve">Foundations and Trends in Theoretical Computer Science</w:t>
      </w:r>
      <w:r>
        <w:t xml:space="preserve">, 8(4):265–368, 2013.</w:t>
      </w:r>
    </w:p>
    <w:p>
      <w:pPr>
        <w:pStyle w:val="ReferenceEntry"/>
        <w:spacing w:after="100"/>
        <w:ind w:left="475" w:hanging="475"/>
        <w:jc w:val="left"/>
        <w:keepNext w:val="0"/>
        <w:keepLines w:val="0"/>
        <w:widowControl w:val="1"/>
      </w:pPr>
      <w:r>
        <w:rPr>
          <w:rFonts w:ascii="Georgia" w:hAnsi="Georgia"/>
          <w:sz w:val="18"/>
        </w:rPr>
        <w:t xml:space="preserve">6. </w:t>
      </w:r>
      <w:r>
        <w:t xml:space="preserve">R. M. Karp, U. V. Vazirani, and V. V. Vazirani. An optimal algorithm for on-line bipartite matching. In</w:t>
      </w:r>
      <w:r>
        <w:t xml:space="preserve"> </w:t>
      </w:r>
      <w:r>
        <w:rPr>
          <w:i/>
          <w:iCs/>
        </w:rPr>
        <w:t xml:space="preserve">Proceedings of the 22nd ACM Symposium on Theory of Computing (STOC)</w:t>
      </w:r>
      <w:r>
        <w:t xml:space="preserve">, pages 352–358, 1990.</w:t>
      </w:r>
    </w:p>
    <w:p>
      <w:pPr>
        <w:pStyle w:val="ReferenceEntry"/>
        <w:spacing w:after="100"/>
        <w:ind w:left="475" w:hanging="475"/>
        <w:jc w:val="left"/>
        <w:keepNext w:val="0"/>
        <w:keepLines w:val="0"/>
        <w:widowControl w:val="1"/>
      </w:pPr>
      <w:r>
        <w:rPr>
          <w:rFonts w:ascii="Georgia" w:hAnsi="Georgia"/>
          <w:sz w:val="18"/>
        </w:rPr>
        <w:t xml:space="preserve">7. </w:t>
      </w:r>
      <w:r>
        <w:t xml:space="preserve">A. Mehta, A. Saberi, U. V. Vazirani, and V. V. Vazirani. AdWords and generalized online matching.</w:t>
      </w:r>
      <w:r>
        <w:t xml:space="preserve"> </w:t>
      </w:r>
      <w:r>
        <w:rPr>
          <w:i/>
          <w:iCs/>
        </w:rPr>
        <w:t xml:space="preserve">Journal of the ACM</w:t>
      </w:r>
      <w:r>
        <w:t xml:space="preserve">, 54(5), Article 22, 2007.</w:t>
      </w:r>
    </w:p>
    <w:p>
      <w:pPr>
        <w:pStyle w:val="ReferenceEntry"/>
        <w:spacing w:after="100"/>
        <w:ind w:left="475" w:hanging="475"/>
        <w:jc w:val="left"/>
        <w:keepNext w:val="0"/>
        <w:keepLines w:val="0"/>
        <w:widowControl w:val="1"/>
      </w:pPr>
      <w:r>
        <w:rPr>
          <w:rFonts w:ascii="Georgia" w:hAnsi="Georgia"/>
          <w:sz w:val="18"/>
        </w:rPr>
        <w:t xml:space="preserve">8. </w:t>
      </w:r>
      <w:r>
        <w:t xml:space="preserve">N. R. Devanur and T. P. Hayes. The adwords problem: online keyword matching with budgeted bidders under random permutations. In</w:t>
      </w:r>
      <w:r>
        <w:t xml:space="preserve"> </w:t>
      </w:r>
      <w:r>
        <w:rPr>
          <w:i/>
          <w:iCs/>
        </w:rPr>
        <w:t xml:space="preserve">Proceedings of the 10th ACM Conference on Electronic Commerce (EC)</w:t>
      </w:r>
      <w:r>
        <w:t xml:space="preserve">, pages 71–78, 2009.</w:t>
      </w:r>
    </w:p>
    <w:p>
      <w:pPr>
        <w:pStyle w:val="ReferenceEntry"/>
        <w:spacing w:after="100"/>
        <w:ind w:left="475" w:hanging="475"/>
        <w:jc w:val="left"/>
        <w:keepNext w:val="0"/>
        <w:keepLines w:val="0"/>
        <w:widowControl w:val="1"/>
      </w:pPr>
      <w:r>
        <w:rPr>
          <w:rFonts w:ascii="Georgia" w:hAnsi="Georgia"/>
          <w:sz w:val="18"/>
        </w:rPr>
        <w:t xml:space="preserve">9. </w:t>
      </w:r>
      <w:r>
        <w:t xml:space="preserve">J. Feldman, M. Henzinger, N. Korula, V. S. Mirrokni, and C. Stein. Online stochastic packing applied to display ad allocation. In</w:t>
      </w:r>
      <w:r>
        <w:t xml:space="preserve"> </w:t>
      </w:r>
      <w:r>
        <w:rPr>
          <w:i/>
          <w:iCs/>
        </w:rPr>
        <w:t xml:space="preserve">Proceedings of the 18th European Symposium on Algorithms (ESA)</w:t>
      </w:r>
      <w:r>
        <w:t xml:space="preserve">, pages 182–194, 2010.</w:t>
      </w:r>
    </w:p>
    <w:p>
      <w:pPr>
        <w:pStyle w:val="ReferenceEntry"/>
        <w:spacing w:after="100"/>
        <w:ind w:left="475" w:hanging="475"/>
        <w:jc w:val="left"/>
        <w:keepNext w:val="0"/>
        <w:keepLines w:val="0"/>
        <w:widowControl w:val="1"/>
      </w:pPr>
      <w:r>
        <w:rPr>
          <w:rFonts w:ascii="Georgia" w:hAnsi="Georgia"/>
          <w:sz w:val="18"/>
        </w:rPr>
        <w:t xml:space="preserve">10. </w:t>
      </w:r>
      <w:r>
        <w:t xml:space="preserve">S. Agrawal, Z. Wang, and Y. Ye. A dynamic near-optimal algorithm for online linear programming.</w:t>
      </w:r>
      <w:r>
        <w:t xml:space="preserve"> </w:t>
      </w:r>
      <w:r>
        <w:rPr>
          <w:i/>
          <w:iCs/>
        </w:rPr>
        <w:t xml:space="preserve">Operations Research</w:t>
      </w:r>
      <w:r>
        <w:t xml:space="preserve">, 62(4):876–890, 2014.</w:t>
      </w:r>
    </w:p>
    <w:p>
      <w:pPr>
        <w:pStyle w:val="ReferenceEntry"/>
        <w:spacing w:after="100"/>
        <w:ind w:left="475" w:hanging="475"/>
        <w:jc w:val="left"/>
        <w:keepNext w:val="0"/>
        <w:keepLines w:val="0"/>
        <w:widowControl w:val="1"/>
      </w:pPr>
      <w:r>
        <w:rPr>
          <w:rFonts w:ascii="Georgia" w:hAnsi="Georgia"/>
          <w:sz w:val="18"/>
        </w:rPr>
        <w:t xml:space="preserve">11. </w:t>
      </w:r>
      <w:r>
        <w:t xml:space="preserve">E. Vee, S. Vassilvitskii, and J. Shanmugasundaram. Optimal online assignment with forecasts. In</w:t>
      </w:r>
      <w:r>
        <w:t xml:space="preserve"> </w:t>
      </w:r>
      <w:r>
        <w:rPr>
          <w:i/>
          <w:iCs/>
        </w:rPr>
        <w:t xml:space="preserve">Proceedings of the 11th ACM Conference on Electronic Commerce (EC)</w:t>
      </w:r>
      <w:r>
        <w:t xml:space="preserve">, pages 109–118, 2010.</w:t>
      </w:r>
    </w:p>
    <w:p>
      <w:pPr>
        <w:pStyle w:val="ReferenceEntry"/>
        <w:spacing w:after="100"/>
        <w:ind w:left="475" w:hanging="475"/>
        <w:jc w:val="left"/>
        <w:keepNext w:val="0"/>
        <w:keepLines w:val="0"/>
        <w:widowControl w:val="1"/>
      </w:pPr>
      <w:r>
        <w:rPr>
          <w:rFonts w:ascii="Georgia" w:hAnsi="Georgia"/>
          <w:sz w:val="18"/>
        </w:rPr>
        <w:t xml:space="preserve">12. </w:t>
      </w:r>
      <w:r>
        <w:t xml:space="preserve">V. Bharadwaj, P. Chen, W. Ma, C. Nagarajan, J. A. Tomlin, S. Vassilvitskii, E. Vee, and J. Yang. SHALE: an efficient algorithm for allocation of guaranteed display advertising. In</w:t>
      </w:r>
      <w:r>
        <w:t xml:space="preserve"> </w:t>
      </w:r>
      <w:r>
        <w:rPr>
          <w:i/>
          <w:iCs/>
        </w:rPr>
        <w:t xml:space="preserve">Proceedings of the 18th ACM SIGKDD Conference (KDD)</w:t>
      </w:r>
      <w:r>
        <w:t xml:space="preserve">, pages 1195–1203, 2012.</w:t>
      </w:r>
    </w:p>
    <w:p>
      <w:pPr>
        <w:pStyle w:val="ReferenceEntry"/>
        <w:spacing w:after="100"/>
        <w:ind w:left="475" w:hanging="475"/>
        <w:jc w:val="left"/>
        <w:keepNext w:val="0"/>
        <w:keepLines w:val="0"/>
        <w:widowControl w:val="1"/>
      </w:pPr>
      <w:r>
        <w:rPr>
          <w:rFonts w:ascii="Georgia" w:hAnsi="Georgia"/>
          <w:sz w:val="18"/>
        </w:rPr>
        <w:t xml:space="preserve">13. </w:t>
      </w:r>
      <w:r>
        <w:t xml:space="preserve">D. Agarwal, S. Ghosh, K. Wei, and S. You. Budget pacing for targeted online advertisements at LinkedIn. In</w:t>
      </w:r>
      <w:r>
        <w:t xml:space="preserve"> </w:t>
      </w:r>
      <w:r>
        <w:rPr>
          <w:i/>
          <w:iCs/>
        </w:rPr>
        <w:t xml:space="preserve">Proceedings of the 20th ACM SIGKDD Conference (KDD)</w:t>
      </w:r>
      <w:r>
        <w:t xml:space="preserve">, pages 1613–1619, 2014.</w:t>
      </w:r>
    </w:p>
    <w:p>
      <w:pPr>
        <w:pStyle w:val="ReferenceEntry"/>
        <w:spacing w:after="100"/>
        <w:ind w:left="475" w:hanging="475"/>
        <w:jc w:val="left"/>
        <w:keepNext w:val="0"/>
        <w:keepLines w:val="0"/>
        <w:widowControl w:val="1"/>
      </w:pPr>
      <w:r>
        <w:rPr>
          <w:rFonts w:ascii="Georgia" w:hAnsi="Georgia"/>
          <w:sz w:val="18"/>
        </w:rPr>
        <w:t xml:space="preserve">14. </w:t>
      </w:r>
      <w:r>
        <w:t xml:space="preserve">J. Xu, K.-c. Lee, W. Li, H. Qi, and Q. Lu. Smart pacing for effective online ad campaign optimization. In</w:t>
      </w:r>
      <w:r>
        <w:t xml:space="preserve"> </w:t>
      </w:r>
      <w:r>
        <w:rPr>
          <w:i/>
          <w:iCs/>
        </w:rPr>
        <w:t xml:space="preserve">Proceedings of the 21st ACM SIGKDD Conference (KDD)</w:t>
      </w:r>
      <w:r>
        <w:t xml:space="preserve">, pages 2217–2226, 2015.</w:t>
      </w:r>
    </w:p>
    <w:p>
      <w:pPr>
        <w:pStyle w:val="ReferenceEntry"/>
        <w:spacing w:after="100"/>
        <w:ind w:left="475" w:hanging="475"/>
        <w:jc w:val="left"/>
        <w:keepNext w:val="0"/>
        <w:keepLines w:val="0"/>
        <w:widowControl w:val="1"/>
      </w:pPr>
      <w:r>
        <w:rPr>
          <w:rFonts w:ascii="Georgia" w:hAnsi="Georgia"/>
          <w:sz w:val="18"/>
        </w:rPr>
        <w:t xml:space="preserve">15. </w:t>
      </w:r>
      <w:r>
        <w:t xml:space="preserve">H. B. McMahan, G. Holt, D. Sculley, et al. Ad click prediction: a view from the trenches. In</w:t>
      </w:r>
      <w:r>
        <w:t xml:space="preserve"> </w:t>
      </w:r>
      <w:r>
        <w:rPr>
          <w:i/>
          <w:iCs/>
        </w:rPr>
        <w:t xml:space="preserve">Proceedings of the 19th ACM SIGKDD Conference (KDD)</w:t>
      </w:r>
      <w:r>
        <w:t xml:space="preserve">, pages 1222–1230, 2013.</w:t>
      </w:r>
    </w:p>
    <w:p>
      <w:pPr>
        <w:pStyle w:val="ReferenceEntry"/>
        <w:spacing w:after="100"/>
        <w:ind w:left="475" w:hanging="475"/>
        <w:jc w:val="left"/>
        <w:keepNext w:val="0"/>
        <w:keepLines w:val="0"/>
        <w:widowControl w:val="1"/>
      </w:pPr>
      <w:r>
        <w:rPr>
          <w:rFonts w:ascii="Georgia" w:hAnsi="Georgia"/>
          <w:sz w:val="18"/>
        </w:rPr>
        <w:t xml:space="preserve">16. </w:t>
      </w:r>
      <w:r>
        <w:t xml:space="preserve">Y.-C. Juan, Y. Zhuang, W.-S. Chin, and C.-J. Lin. Field-aware factorization machines for CTR prediction. In</w:t>
      </w:r>
      <w:r>
        <w:t xml:space="preserve"> </w:t>
      </w:r>
      <w:r>
        <w:rPr>
          <w:i/>
          <w:iCs/>
        </w:rPr>
        <w:t xml:space="preserve">Proceedings of the 10th ACM Conference on Recommender Systems (RecSys)</w:t>
      </w:r>
      <w:r>
        <w:t xml:space="preserve">, pages 43–50, 2016.</w:t>
      </w:r>
    </w:p>
    <w:p>
      <w:pPr>
        <w:pStyle w:val="ReferenceEntry"/>
        <w:spacing w:after="100"/>
        <w:ind w:left="475" w:hanging="475"/>
        <w:jc w:val="left"/>
        <w:keepNext w:val="0"/>
        <w:keepLines w:val="0"/>
        <w:widowControl w:val="1"/>
      </w:pPr>
      <w:r>
        <w:rPr>
          <w:rFonts w:ascii="Georgia" w:hAnsi="Georgia"/>
          <w:sz w:val="18"/>
        </w:rPr>
        <w:t xml:space="preserve">17. </w:t>
      </w:r>
      <w:r>
        <w:t xml:space="preserve">G. Zhou, X. Zhu, C. Song, Y. Fan, H. Zhu, X. Ma, Y. Yan, J. Jin, H. Li, and K. Gai. Deep Interest Network for click-through rate prediction. In</w:t>
      </w:r>
      <w:r>
        <w:t xml:space="preserve"> </w:t>
      </w:r>
      <w:r>
        <w:rPr>
          <w:i/>
          <w:iCs/>
        </w:rPr>
        <w:t xml:space="preserve">Proceedings of the 24th ACM SIGKDD Conference (KDD)</w:t>
      </w:r>
      <w:r>
        <w:t xml:space="preserve">, pages 1059–1068, 2018.</w:t>
      </w:r>
    </w:p>
    <w:p>
      <w:pPr>
        <w:pStyle w:val="ReferenceEntry"/>
        <w:spacing w:after="100"/>
        <w:ind w:left="475" w:hanging="475"/>
        <w:jc w:val="left"/>
        <w:keepNext w:val="0"/>
        <w:keepLines w:val="0"/>
        <w:widowControl w:val="1"/>
      </w:pPr>
      <w:r>
        <w:rPr>
          <w:rFonts w:ascii="Georgia" w:hAnsi="Georgia"/>
          <w:sz w:val="18"/>
        </w:rPr>
        <w:t xml:space="preserve">18. </w:t>
      </w:r>
      <w:r>
        <w:t xml:space="preserve">L. Li, W. Chu, J. Langford, and X. Wang. Unbiased offline evaluation of contextual-bandit-based news article recommendation algorithms. In</w:t>
      </w:r>
      <w:r>
        <w:t xml:space="preserve"> </w:t>
      </w:r>
      <w:r>
        <w:rPr>
          <w:i/>
          <w:iCs/>
        </w:rPr>
        <w:t xml:space="preserve">Proceedings of the 4th ACM WSDM Conference</w:t>
      </w:r>
      <w:r>
        <w:t xml:space="preserve">, pages 297–306, 2011.</w:t>
      </w:r>
    </w:p>
    <w:p>
      <w:pPr>
        <w:pStyle w:val="ReferenceEntry"/>
        <w:spacing w:after="100"/>
        <w:ind w:left="475" w:hanging="475"/>
        <w:jc w:val="left"/>
        <w:keepNext w:val="0"/>
        <w:keepLines w:val="0"/>
        <w:widowControl w:val="1"/>
      </w:pPr>
      <w:r>
        <w:rPr>
          <w:rFonts w:ascii="Georgia" w:hAnsi="Georgia"/>
          <w:sz w:val="18"/>
        </w:rPr>
        <w:t xml:space="preserve">19. </w:t>
      </w:r>
      <w:r>
        <w:t xml:space="preserve">L. Bottou, J. Peters, J. Quiñonero Candela, D. X. Charles, M. Chickering, E. Portugaly, D. Ray, P. Y. Simard, and E. Snelson. Counterfactual reasoning and learning systems: the example of computational advertising.</w:t>
      </w:r>
      <w:r>
        <w:t xml:space="preserve"> </w:t>
      </w:r>
      <w:r>
        <w:rPr>
          <w:i/>
          <w:iCs/>
        </w:rPr>
        <w:t xml:space="preserve">Journal of Machine Learning Research</w:t>
      </w:r>
      <w:r>
        <w:t xml:space="preserve">, 14(1):3207–3260, 2013.</w:t>
      </w:r>
    </w:p>
    <w:p>
      <w:pPr>
        <w:pStyle w:val="ReferenceEntry"/>
        <w:spacing w:after="100"/>
        <w:ind w:left="475" w:hanging="475"/>
        <w:jc w:val="left"/>
        <w:keepNext w:val="0"/>
        <w:keepLines w:val="0"/>
        <w:widowControl w:val="1"/>
      </w:pPr>
      <w:r>
        <w:rPr>
          <w:rFonts w:ascii="Georgia" w:hAnsi="Georgia"/>
          <w:sz w:val="18"/>
        </w:rPr>
        <w:t xml:space="preserve">20. </w:t>
      </w:r>
      <w:r>
        <w:t xml:space="preserve">A. Gilotte, C. Calauzènes, T. Nedelec, A. Abraham, and S. Dollé. Offline A/B testing for recommender systems. In</w:t>
      </w:r>
      <w:r>
        <w:t xml:space="preserve"> </w:t>
      </w:r>
      <w:r>
        <w:rPr>
          <w:i/>
          <w:iCs/>
        </w:rPr>
        <w:t xml:space="preserve">Proceedings of the 11th ACM WSDM Conference</w:t>
      </w:r>
      <w:r>
        <w:t xml:space="preserve">, pages 198–206, 2018.</w:t>
      </w:r>
    </w:p>
    <w:p>
      <w:pPr>
        <w:pStyle w:val="ReferenceEntry"/>
        <w:spacing w:after="100"/>
        <w:ind w:left="475" w:hanging="475"/>
        <w:jc w:val="left"/>
        <w:keepNext w:val="0"/>
        <w:keepLines w:val="0"/>
        <w:widowControl w:val="1"/>
      </w:pPr>
      <w:r>
        <w:rPr>
          <w:rFonts w:ascii="Georgia" w:hAnsi="Georgia"/>
          <w:sz w:val="18"/>
        </w:rPr>
        <w:t xml:space="preserve">21. </w:t>
      </w:r>
      <w:r>
        <w:t xml:space="preserve">S. Balseiro, H. Lu, and V. Mirrokni. Dual mirror descent for online allocation problems. In</w:t>
      </w:r>
      <w:r>
        <w:t xml:space="preserve"> </w:t>
      </w:r>
      <w:r>
        <w:rPr>
          <w:i/>
          <w:iCs/>
        </w:rPr>
        <w:t xml:space="preserve">Proceedings of the 37th International Conference on Machine Learning (ICML)</w:t>
      </w:r>
      <w:r>
        <w:t xml:space="preserve">, pages 613–628, 2020.</w:t>
      </w:r>
    </w:p>
    <w:p>
      <w:pPr>
        <w:pStyle w:val="ReferenceEntry"/>
        <w:spacing w:after="100"/>
        <w:ind w:left="475" w:hanging="475"/>
        <w:jc w:val="left"/>
        <w:keepNext w:val="0"/>
        <w:keepLines w:val="0"/>
        <w:widowControl w:val="1"/>
      </w:pPr>
      <w:r>
        <w:rPr>
          <w:rFonts w:ascii="Georgia" w:hAnsi="Georgia"/>
          <w:sz w:val="18"/>
        </w:rPr>
        <w:t xml:space="preserve">22. </w:t>
      </w:r>
      <w:r>
        <w:t xml:space="preserve">S. Balseiro, J. Feldman, V. Mirrokni, and S. Muthukrishnan. Yield optimization of display advertising with ad exchange.</w:t>
      </w:r>
      <w:r>
        <w:t xml:space="preserve"> </w:t>
      </w:r>
      <w:r>
        <w:rPr>
          <w:i/>
          <w:iCs/>
        </w:rPr>
        <w:t xml:space="preserve">Management Science</w:t>
      </w:r>
      <w:r>
        <w:t xml:space="preserve">, 60(12):2886–2907, 2014.</w:t>
      </w:r>
    </w:p>
    <w:p>
      <w:pPr>
        <w:pStyle w:val="ReferenceEntry"/>
        <w:spacing w:after="100"/>
        <w:ind w:left="475" w:hanging="475"/>
        <w:jc w:val="left"/>
        <w:keepNext w:val="0"/>
        <w:keepLines w:val="0"/>
        <w:widowControl w:val="1"/>
      </w:pPr>
      <w:r>
        <w:rPr>
          <w:rFonts w:ascii="Georgia" w:hAnsi="Georgia"/>
          <w:sz w:val="18"/>
        </w:rPr>
        <w:t xml:space="preserve">23. </w:t>
      </w:r>
      <w:r>
        <w:t xml:space="preserve">M. Dudík, J. Langford, and L. Li. Doubly robust policy evaluation and learning. In</w:t>
      </w:r>
      <w:r>
        <w:t xml:space="preserve"> </w:t>
      </w:r>
      <w:r>
        <w:rPr>
          <w:i/>
          <w:iCs/>
        </w:rPr>
        <w:t xml:space="preserve">Proceedings of the 28th International Conference on Machine Learning (ICML)</w:t>
      </w:r>
      <w:r>
        <w:t xml:space="preserve">, pages 1097–1104, 2011.</w:t>
      </w:r>
    </w:p>
    <w:p>
      <w:pPr>
        <w:pStyle w:val="ReferenceEntry"/>
        <w:spacing w:after="100"/>
        <w:ind w:left="475" w:hanging="475"/>
        <w:jc w:val="left"/>
        <w:keepNext w:val="0"/>
        <w:keepLines w:val="0"/>
        <w:widowControl w:val="1"/>
      </w:pPr>
      <w:r>
        <w:rPr>
          <w:rFonts w:ascii="Georgia" w:hAnsi="Georgia"/>
          <w:sz w:val="18"/>
        </w:rPr>
        <w:t xml:space="preserve">24. </w:t>
      </w:r>
      <w:r>
        <w:t xml:space="preserve">Y.-X. Wang, A. Agarwal, and M. Dudík. Optimal and adaptive off-policy evaluation in contextual bandits. In</w:t>
      </w:r>
      <w:r>
        <w:t xml:space="preserve"> </w:t>
      </w:r>
      <w:r>
        <w:rPr>
          <w:i/>
          <w:iCs/>
        </w:rPr>
        <w:t xml:space="preserve">Proceedings of the 34th International Conference on Machine Learning (ICML)</w:t>
      </w:r>
      <w:r>
        <w:t xml:space="preserve">, pages 3589–3597, 2017.</w:t>
      </w:r>
    </w:p>
    <w:p>
      <w:pPr>
        <w:pStyle w:val="ReferenceEntry"/>
        <w:spacing w:after="100"/>
        <w:ind w:left="475" w:hanging="475"/>
        <w:jc w:val="left"/>
        <w:keepNext w:val="0"/>
        <w:keepLines w:val="0"/>
        <w:widowControl w:val="1"/>
      </w:pPr>
      <w:r>
        <w:rPr>
          <w:rFonts w:ascii="Georgia" w:hAnsi="Georgia"/>
          <w:sz w:val="18"/>
        </w:rPr>
        <w:t xml:space="preserve">25. </w:t>
      </w:r>
      <w:r>
        <w:t xml:space="preserve">Preprint, August 2026. Code and replay harness: github.com/ApartsinProjects/optimal-impression-allocation.</w:t>
      </w:r>
    </w:p>
    <w:bookmarkEnd w:id="52"/>
    <w:sectPr w:rsidR="00FC693F" w:rsidRPr="0006063C" w:rsidSect="00034616">
      <w:type w:val="continuous"/>
      <w:pgSz w:h="15840" w:w="12240"/>
      <w:pgMar w:bottom="1080" w:footer="720" w:gutter="0" w:header="720" w:left="1080" w:right="1080" w:top="1080"/>
      <w:cols w:num="2" w:space="288" w:equalWidth="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Georgia" w:hAnsi="Georgia"/>
        <w:sz w:val="18"/>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40" w:lineRule="auto"/>
    </w:pPr>
    <w:rPr>
      <w:rFonts w:ascii="Georgia" w:hAnsi="Georgia"/>
      <w:b w:val="0"/>
      <w:i w:val="0"/>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Georgia" w:asciiTheme="majorHAnsi" w:cstheme="majorBidi" w:eastAsiaTheme="majorEastAsia" w:hAnsi="Georgia" w:hAnsiTheme="majorHAnsi"/>
      <w:b/>
      <w:bCs/>
      <w:i w:val="0"/>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Georgia" w:asciiTheme="majorHAnsi" w:cstheme="majorBidi" w:eastAsiaTheme="majorEastAsia" w:hAnsi="Georgia" w:hAnsiTheme="majorHAnsi"/>
      <w:b/>
      <w:bCs/>
      <w:i w:val="0"/>
      <w:color w:themeColor="accent1" w:val="4F81BD"/>
      <w:sz w:val="22"/>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Georgia" w:asciiTheme="majorHAnsi" w:cstheme="majorBidi" w:eastAsiaTheme="majorEastAsia" w:hAnsi="Georgia" w:hAnsiTheme="majorHAnsi"/>
      <w:b/>
      <w:bCs/>
      <w:i w:val="0"/>
      <w:color w:themeColor="accent1" w:val="4F81B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Georgia" w:asciiTheme="majorHAnsi" w:cstheme="majorBidi" w:eastAsiaTheme="majorEastAsia" w:hAnsi="Georgia" w:hAnsiTheme="majorHAnsi"/>
      <w:b/>
      <w:i w:val="0"/>
      <w:color w:themeColor="text2" w:themeShade="BF" w:val="17365D"/>
      <w:spacing w:val="5"/>
      <w:kern w:val="28"/>
      <w:sz w:val="3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Georgia" w:asciiTheme="majorHAnsi" w:cstheme="majorBidi" w:eastAsiaTheme="majorEastAsia" w:hAnsi="Georgia" w:hAnsiTheme="majorHAnsi"/>
      <w:b w:val="0"/>
      <w:i w:val="0"/>
      <w:iCs/>
      <w:color w:themeColor="accent1" w:val="4F81BD"/>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40" w:lineRule="auto"/>
      <w:ind w:firstLine="288"/>
      <w:jc w:val="both"/>
    </w:pPr>
    <w:rPr>
      <w:rFonts w:ascii="Georgia" w:hAnsi="Georgia"/>
      <w:b w:val="0"/>
      <w:i w:val="0"/>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40" w:lineRule="auto"/>
      <w:ind w:firstLine="0"/>
      <w:jc w:val="both"/>
    </w:pPr>
    <w:rPr>
      <w:rFonts w:ascii="Georgia" w:hAnsi="Georgia"/>
      <w:b w:val="0"/>
      <w:i w:val="0"/>
      <w:sz w:val="20"/>
    </w:rPr>
  </w:style>
  <w:style w:customStyle="1" w:styleId="Compact" w:type="paragraph">
    <w:name w:val="Compact"/>
    <w:basedOn w:val="BodyText"/>
    <w:pPr>
      <w:keepNext w:val="0"/>
      <w:spacing w:after="40" w:before="0" w:line="252" w:lineRule="auto"/>
      <w:ind w:left="317" w:hanging="259"/>
      <w:jc w:val="both"/>
    </w:pPr>
    <w:rPr>
      <w:rFonts w:ascii="Georgia" w:hAnsi="Georgia"/>
      <w:b w:val="0"/>
      <w:i w:val="0"/>
      <w:sz w:val="20"/>
    </w:rPr>
  </w:style>
  <w:style w:customStyle="1" w:styleId="AbstractLabel" w:type="paragraph">
    <w:name w:val="Abstract Label"/>
    <w:basedOn w:val="BodyText"/>
    <w:pPr>
      <w:keepNext/>
      <w:spacing w:after="80" w:before="80"/>
      <w:ind w:firstLine="0"/>
      <w:jc w:val="center"/>
    </w:pPr>
    <w:rPr>
      <w:rFonts w:ascii="Georgia" w:hAnsi="Georgia"/>
      <w:b/>
      <w:i w:val="0"/>
      <w:sz w:val="20"/>
    </w:rPr>
  </w:style>
  <w:style w:customStyle="1" w:styleId="Keywords" w:type="paragraph">
    <w:name w:val="Keywords"/>
    <w:basedOn w:val="BodyText"/>
    <w:pPr>
      <w:keepNext w:val="0"/>
      <w:spacing w:after="80" w:before="0"/>
      <w:ind w:firstLine="0"/>
      <w:jc w:val="both"/>
    </w:pPr>
    <w:rPr>
      <w:rFonts w:ascii="Georgia" w:hAnsi="Georgia"/>
      <w:b w:val="0"/>
      <w:i w:val="0"/>
      <w:sz w:val="20"/>
    </w:rPr>
  </w:style>
  <w:style w:customStyle="1" w:styleId="ImageCaption" w:type="paragraph">
    <w:name w:val="Image Caption"/>
    <w:basedOn w:val="BodyText"/>
    <w:pPr>
      <w:keepNext w:val="0"/>
      <w:spacing w:after="120" w:before="80" w:line="240" w:lineRule="auto"/>
      <w:jc w:val="center"/>
    </w:pPr>
    <w:rPr>
      <w:rFonts w:ascii="Georgia" w:hAnsi="Georgia"/>
      <w:b w:val="0"/>
      <w:i/>
      <w:sz w:val="18"/>
    </w:rPr>
  </w:style>
  <w:style w:customStyle="1" w:styleId="TableCaption" w:type="paragraph">
    <w:name w:val="Table Caption"/>
    <w:basedOn w:val="BodyText"/>
    <w:pPr>
      <w:keepNext/>
      <w:spacing w:after="60" w:before="240" w:line="240" w:lineRule="auto"/>
      <w:jc w:val="center"/>
    </w:pPr>
    <w:rPr>
      <w:rFonts w:ascii="Georgia" w:hAnsi="Georgia"/>
      <w:b w:val="0"/>
      <w:i/>
      <w:sz w:val="18"/>
    </w:rPr>
  </w:style>
  <w:style w:customStyle="1" w:styleId="ReferencesHeading" w:type="paragraph">
    <w:name w:val="References Heading"/>
    <w:basedOn w:val="Heading1"/>
    <w:pPr>
      <w:keepNext/>
      <w:spacing w:after="120" w:before="240"/>
    </w:pPr>
    <w:rPr>
      <w:rFonts w:ascii="Georgia" w:hAnsi="Georgia"/>
      <w:b/>
      <w:i w:val="0"/>
      <w:sz w:val="24"/>
    </w:rPr>
  </w:style>
  <w:style w:customStyle="1" w:styleId="ReferenceEntry" w:type="paragraph">
    <w:name w:val="Reference Entry"/>
    <w:basedOn w:val="BodyText"/>
    <w:pPr>
      <w:keepNext w:val="0"/>
      <w:spacing w:after="100" w:before="0" w:line="259" w:lineRule="auto"/>
      <w:ind w:left="475" w:hanging="475"/>
      <w:jc w:val="left"/>
    </w:pPr>
    <w:rPr>
      <w:rFonts w:ascii="Georgia" w:hAnsi="Georgia"/>
      <w:b w:val="0"/>
      <w:i w:val="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21" Type="http://schemas.openxmlformats.org/officeDocument/2006/relationships/image" Target="media/rId21.png"/><Relationship Id="rId25" Type="http://schemas.openxmlformats.org/officeDocument/2006/relationships/image" Target="media/rId25.png"/><Relationship Id="rId38" Type="http://schemas.openxmlformats.org/officeDocument/2006/relationships/image" Target="media/rId38.png"/><Relationship Id="rId42" Type="http://schemas.openxmlformats.org/officeDocument/2006/relationships/image" Target="media/rId42.png"/><Relationship Id="rId47" Type="http://schemas.openxmlformats.org/officeDocument/2006/relationships/image" Target="media/rId4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2026-09-01T11:38:27Z</dcterms:created>
  <dcterms:modified xsi:type="dcterms:W3CDTF">2026-09-01T11:38:27Z</dcterms:modified>
</cp:coreProperties>
</file>

<file path=docProps/custom.xml><?xml version="1.0" encoding="utf-8"?>
<Properties xmlns="http://schemas.openxmlformats.org/officeDocument/2006/custom-properties" xmlns:vt="http://schemas.openxmlformats.org/officeDocument/2006/docPropsVTypes"/>
</file>