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2.png" ContentType="image/png"/>
  <Override PartName="/word/media/rId46.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Preprint</w:t>
      </w:r>
    </w:p>
    <w:bookmarkStart w:id="20" w:name="segment-where-the-interaction-persists"/>
    <w:p>
      <w:pPr>
        <w:pStyle w:val="Heading1"/>
      </w:pPr>
      <w:r>
        <w:t xml:space="preserve">Segment Where the Interaction Persists</w:t>
      </w:r>
    </w:p>
    <w:p>
      <w:pPr>
        <w:pStyle w:val="FirstParagraph"/>
      </w:pPr>
      <w:r>
        <w:t xml:space="preserve">Planning, Pacing, and a Regime Map from Public Advertising Logs.</w:t>
      </w:r>
    </w:p>
    <w:p>
      <w:pPr>
        <w:pStyle w:val="BodyText"/>
      </w:pPr>
      <w:r>
        <w:t xml:space="preserve">Alexander Apartsin</w:t>
      </w:r>
      <w:r>
        <w:rPr>
          <w:vertAlign w:val="superscript"/>
        </w:rPr>
        <w:t xml:space="preserve">1</w:t>
      </w:r>
      <w:r>
        <w:t xml:space="preserve"> · Yehudit Aperstein</w:t>
      </w:r>
      <w:r>
        <w:rPr>
          <w:vertAlign w:val="superscript"/>
        </w:rPr>
        <w:t xml:space="preserve">2</w:t>
      </w:r>
    </w:p>
    <w:p>
      <w:pPr>
        <w:pStyle w:val="BodyText"/>
      </w:pPr>
      <w:r>
        <w:rPr>
          <w:vertAlign w:val="superscript"/>
        </w:rPr>
        <w:t xml:space="preserve">1</w:t>
      </w:r>
      <w:r>
        <w:t xml:space="preserve">School of Computer Science, Faculty of Sciences, Holon Institute of Technology (HIT), Holon, Israel</w:t>
      </w:r>
      <w:r>
        <w:br/>
      </w:r>
      <w:r>
        <w:rPr>
          <w:vertAlign w:val="superscript"/>
        </w:rPr>
        <w:t xml:space="preserve">2</w:t>
      </w:r>
      <w:r>
        <w:t xml:space="preserve">Intelligent Systems, Afeka Academic College of Engineering, Tel-Aviv, Israel</w:t>
      </w:r>
    </w:p>
    <w:bookmarkEnd w:id="20"/>
    <w:bookmarkStart w:id="21" w:name="abstract"/>
    <w:p>
      <w:pPr>
        <w:pStyle w:val="Heading2"/>
      </w:pPr>
      <w:r>
        <w:t xml:space="preserve">Abstract</w:t>
      </w:r>
    </w:p>
    <w:p>
      <w:pPr>
        <w:pStyle w:val="FirstParagraph"/>
      </w:pPr>
      <w:r>
        <w:t xml:space="preserve">Under fixed campaign quotas, impression allocation can exploit exactly one statistical object: campaign-by-segment interaction in click-through rate that persists across planning windows. Main effects are neutralized: campaign effects by the quotas, segment effects by supply. We give a pre-committable rule for choosing the segmentation an allocator should use: measure the persistence of double-centered interaction residuals across adjacent planning windows, segment only on the axes that persist, and set granularity in proportion to per-cell data density. On 26.6M impressions of the Taobao display-advertising log, we compute the rule from planning-window data alone, without reference to replay outcomes. It selects the configuration whose replay results match the full ablation ordering: activity tiers pay, demographics and time do not, and finer granularity pays only while cells stay dense. On Avazu the rule ranks axes consistently, and the boundary where a daily plan fails confirms the re-planning timescale it implies. A pre-registered application to a third log (Outbrain), with the configuration frozen before replay, transfers the rule’s persistence ranking and marks its scope: persistence identifies exploitable axes, but contention governs the realized lift. An uncontended market yields little to allocate, whatever the segmentation.</w:t>
      </w:r>
    </w:p>
    <w:p>
      <w:pPr>
        <w:pStyle w:val="BodyText"/>
      </w:pPr>
      <w:r>
        <w:t xml:space="preserve">Evaluation uses a replay protocol hardened against a trap we document: single-model replay inflates lift through a winner’s curse. Dual-model scoring, an exact uniform-null control, support and fatigue audits, user-clustered inference (headline z = 4.55), and a propensity-weighted outcome bracket delimit what public logs can and cannot show. The protocol yields a regime map. At exact feasibility, plan-informed policies beat greedy serving by 3.5–4.7% expected clicks, and information-matched, feasibility-aware dual-price pacing nearly matches them. Under over-subscription (quotas at 110–150% of supply), online price learning degrades along a spectrum: a scalar controller fails first, and even dual mirror descent, the state-of-the-art adaptive method, tracks the plan through moderate contention but falls below greedy under heavy over-subscription. A fixed dual pinned at the LP’s optimal prices stays positive throughout, so the failure is learning the prices online, not per-campaign pricing. The periodically re-solved plan dominates every regime (+2.2 to +4.4% over greedy, z ≥ 3.4). The ordering reproduces on a second, independent dataset (Outbrain, 87M impressions), where online pacing deepens to −44% while re-solving stays positive. The model-scored gains resist fatigue and support audits. Grounding them in realized outcomes is inconclusive on the small logging-matched subset, an inherent limit of public-log evaluation.</w:t>
      </w:r>
    </w:p>
    <w:bookmarkEnd w:id="21"/>
    <w:bookmarkStart w:id="22"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Operator-run mobile advertising inverts that condition: verified profiles and gateway-complete response attribution support far finer segmentation, and fine segmentation is precisely what advertisers pay an operator for, not “males 18–49” but urban music buyers on sports content on weekend afternoons. That deployment setting motivated this study; Section 8 describes the serving design built for it.</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dual-price adaptation collapses. Section 2 quantifies the cost of greedy serving on a minimal instance and Section 3 states the allocation program. Section 4 develops the replay protocol, Section 5 the persistence rule, and Section 6 the regime map. Section 7 calibrates the harness on a synthetic market with known ground truth, Section 8 presents the reference serving architecture that motivated the study, and Section 9 situates the work in the online-allocation and offline-evaluation literature. Sections 10 and 11 close with design principles and scope.</w:t>
      </w:r>
    </w:p>
    <w:bookmarkEnd w:id="22"/>
    <w:bookmarkStart w:id="26" w:name="the-allocation-problem-a-worked-example"/>
    <w:p>
      <w:pPr>
        <w:pStyle w:val="Heading2"/>
      </w:pPr>
      <w:r>
        <w:t xml:space="preserve">2</w:t>
      </w:r>
      <w:r>
        <w:t xml:space="preserve">The allocation problem: a worked example</w:t>
      </w:r>
    </w:p>
    <w:p>
      <w:pPr>
        <w:pStyle w:val="FirstParagraph"/>
      </w:pPr>
      <w:r>
        <w:t xml:space="preserve">Consider the smallest interesting instance.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24" name="Picture"/>
                  <a:graphic>
                    <a:graphicData uri="http://schemas.openxmlformats.org/drawingml/2006/picture">
                      <pic:pic>
                        <pic:nvPicPr>
                          <pic:cNvPr descr="file:///E:/tmp/claude/E--Projects-Submitted-MobileAd-Comverse/464e82cd-870f-4dc1-b795-92348cf1a9b8/scratchpad/figs/fig1.png" id="25" name="Picture"/>
                          <pic:cNvPicPr>
                            <a:picLocks noChangeArrowheads="1" noChangeAspect="1"/>
                          </pic:cNvPicPr>
                        </pic:nvPicPr>
                        <pic:blipFill>
                          <a:blip r:embed="rId23"/>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6"/>
    <w:bookmarkStart w:id="28" w:name="formulation"/>
    <w:p>
      <w:pPr>
        <w:pStyle w:val="Heading2"/>
      </w:pPr>
      <w:r>
        <w:t xml:space="preserve">3</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27" w:name="Xb8b18ac5c60ec5742410ace98e579bc138671d3"/>
    <w:p>
      <w:pPr>
        <w:pStyle w:val="Heading3"/>
      </w:pPr>
      <w:r>
        <w:t xml:space="preserve">3.1 Interaction invariance under fixed margins</w:t>
      </w:r>
    </w:p>
    <w:p>
      <w:pPr>
        <w:pStyle w:val="FirstParagraph"/>
      </w:pPr>
      <w:r>
        <w:t xml:space="preserve">The value matrix admits an additive decomposition into a campaign main effect, a segment main effect, and an interaction residual,</w:t>
      </w:r>
    </w:p>
    <w:p>
      <w:pPr>
        <w:pStyle w:val="SourceCode"/>
      </w:pPr>
      <w:r>
        <w:rPr>
          <w:rStyle w:val="VerbatimChar"/>
        </w:rPr>
        <w:t xml:space="preserve">vcs  =  ac  +  bs  +  gcs,</w:t>
      </w:r>
    </w:p>
    <w:p>
      <w:pPr>
        <w:pStyle w:val="FirstParagraph"/>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SourceCode"/>
      </w:pPr>
      <w:r>
        <w:rPr>
          <w:rStyle w:val="VerbatimChar"/>
        </w:rPr>
        <w:t xml:space="preserve">V(x) − V(x′)  =  Σc,s ( xc,s − x′c,s ) · gc,s.</w:t>
      </w:r>
    </w:p>
    <w:p>
      <w:pPr>
        <w:pStyle w:val="FirstParagraph"/>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p>
      <w:pPr>
        <w:pStyle w:val="BodyText"/>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5 turns this into a selection rule. Four corollaries fix the scope precisely.</w:t>
      </w:r>
    </w:p>
    <w:p>
      <w:pPr>
        <w:pStyle w:val="Compact"/>
        <w:numPr>
          <w:ilvl w:val="0"/>
          <w:numId w:val="1001"/>
        </w:numPr>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pPr>
      <w:r>
        <w:rPr>
          <w:b/>
          <w:bCs/>
        </w:rPr>
        <w:t xml:space="preserve">Over-subscription (Regime B).</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6 probe, and it is why policy orderings there differ from the feasible case.</w:t>
      </w:r>
    </w:p>
    <w:bookmarkEnd w:id="27"/>
    <w:bookmarkEnd w:id="28"/>
    <w:bookmarkStart w:id="30" w:name="replay-evaluation-protocol"/>
    <w:p>
      <w:pPr>
        <w:pStyle w:val="Heading2"/>
      </w:pPr>
      <w:r>
        <w:t xml:space="preserve">4</w:t>
      </w:r>
      <w:r>
        <w:t xml:space="preserve">Replay evaluation protocol</w:t>
      </w:r>
    </w:p>
    <w:p>
      <w:pPr>
        <w:pStyle w:val="FirstParagraph"/>
      </w:pPr>
      <w:r>
        <w:t xml:space="preserve">A synthetic market controls everything (Section 7); real logs control nothing, which is the point. The experiments of Sections 4–6 replay the public Taobao display-advertising dataset [2, 3]: 26.6 million impressions over 8 days in May 2017, roughly 1.1 million users with declared demographics, and explicit campaign identifiers, the closest public analog to an operator's data.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confirming the harness measures pairing quality and nothing else.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does not rest on extrapolated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Section 8.2 (soft-membership blending, frequency caps, threshold pacing) operate below this granularity and are not exercised by these experiments.</w:t>
      </w:r>
    </w:p>
    <w:bookmarkStart w:id="29" w:name="X888dfabe7f5ac870af14768d223c176646b6318"/>
    <w:p>
      <w:pPr>
        <w:pStyle w:val="Heading3"/>
      </w:pPr>
      <w:r>
        <w:t xml:space="preserve">4.1</w:t>
      </w:r>
      <w:r>
        <w:t xml:space="preserve">Does model-scored replay recover the truth?</w:t>
      </w:r>
    </w:p>
    <w:p>
      <w:pPr>
        <w:pStyle w:val="FirstParagraph"/>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in truth,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benchmark is released with the replication package.</w:t>
      </w:r>
    </w:p>
    <w:bookmarkEnd w:id="29"/>
    <w:bookmarkEnd w:id="30"/>
    <w:bookmarkStart w:id="31" w:name="the-persistence-rule"/>
    <w:p>
      <w:pPr>
        <w:pStyle w:val="Heading2"/>
      </w:pPr>
      <w:r>
        <w:t xml:space="preserve">5</w:t>
      </w:r>
      <w:r>
        <w:t xml:space="preserve">The persistence rule</w:t>
      </w:r>
    </w:p>
    <w:p>
      <w:pPr>
        <w:pStyle w:val="FirstParagraph"/>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Section 8.2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pPr>
      <w:r>
        <w:t xml:space="preserve">These two components combine into a single selection procedure that runs on planning-window data alone and returns a segmentation, or abstains, before any serving outcome is seen.</w:t>
      </w:r>
    </w:p>
    <w:p>
      <w:pPr>
        <w:pStyle w:val="BodyText"/>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SourceCode"/>
      </w:pPr>
      <w:r>
        <w:rPr>
          <w:rStyle w:val="VerbatimChar"/>
        </w:rPr>
        <w:t xml:space="preserve">d* = max { d : median(c,s): xplancs&gt;0 Ntraincs  ≥  nmin },   nmin ≈ p̄(1−p̄) / σγ2,</w:t>
      </w:r>
    </w:p>
    <w:p>
      <w:pPr>
        <w:pStyle w:val="FirstParagraph"/>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31"/>
    <w:bookmarkStart w:id="32" w:name="the-regime-map"/>
    <w:p>
      <w:pPr>
        <w:pStyle w:val="Heading2"/>
      </w:pPr>
      <w:r>
        <w:t xml:space="preserve">6</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Five policies replay each regime on the pre-committed configuration: the static plan; a periodically re-solved plan (the same LP re-solved on remaining quotas and prorated remaining supply every 20,000 impressions); a plain dual-price pacing policy; and a tuned dual-price policy (step size tuned by simulated serving on the last planning day), started either cold or warm from the plan LP’s quota shadow prices. Lift versus greedy, combined over the five walk-forward folds, with z in parentheses: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Fixed optimal dual</w:t>
            </w:r>
          </w:p>
        </w:tc>
        <w:tc>
          <w:tcPr/>
          <w:p>
            <w:pPr>
              <w:pStyle w:val="Compact"/>
              <w:jc w:val="left"/>
            </w:pPr>
            <w:r>
              <w:t xml:space="preserve">DMD, entropic</w:t>
            </w:r>
          </w:p>
        </w:tc>
        <w:tc>
          <w:tcPr/>
          <w:p>
            <w:pPr>
              <w:pStyle w:val="Compact"/>
              <w:jc w:val="left"/>
            </w:pPr>
            <w:r>
              <w:t xml:space="preserve">DMD, Euclidean</w:t>
            </w:r>
          </w:p>
        </w:tc>
        <w:tc>
          <w:tcPr/>
          <w:p>
            <w:pPr>
              <w:pStyle w:val="Compact"/>
              <w:jc w:val="left"/>
            </w:pPr>
            <w:r>
              <w:t xml:space="preserve">Scalar pacing</w:t>
            </w:r>
          </w:p>
        </w:tc>
      </w:tr>
      <w:tr>
        <w:tc>
          <w:tcPr/>
          <w:p>
            <w:pPr>
              <w:pStyle w:val="Compact"/>
              <w:jc w:val="left"/>
            </w:pPr>
            <w:r>
              <w:t xml:space="preserve">1.0</w:t>
            </w:r>
          </w:p>
        </w:tc>
        <w:tc>
          <w:tcPr/>
          <w:p>
            <w:pPr>
              <w:pStyle w:val="Compact"/>
              <w:jc w:val="left"/>
            </w:pPr>
            <w:r>
              <w:t xml:space="preserve">+3.51% (4.7)</w:t>
            </w:r>
          </w:p>
        </w:tc>
        <w:tc>
          <w:tcPr/>
          <w:p>
            <w:pPr>
              <w:pStyle w:val="Compact"/>
              <w:jc w:val="left"/>
            </w:pPr>
            <w:r>
              <w:t xml:space="preserve">+4.27% (6.1)</w:t>
            </w:r>
          </w:p>
        </w:tc>
        <w:tc>
          <w:tcPr/>
          <w:p>
            <w:pPr>
              <w:pStyle w:val="Compact"/>
              <w:jc w:val="left"/>
            </w:pPr>
            <w:r>
              <w:t xml:space="preserve">+4.45% (6.4)</w:t>
            </w:r>
          </w:p>
        </w:tc>
        <w:tc>
          <w:tcPr/>
          <w:p>
            <w:pPr>
              <w:pStyle w:val="Compact"/>
              <w:jc w:val="left"/>
            </w:pPr>
            <w:r>
              <w:t xml:space="preserve">+4.54% (6.8)</w:t>
            </w:r>
          </w:p>
        </w:tc>
        <w:tc>
          <w:tcPr/>
          <w:p>
            <w:pPr>
              <w:pStyle w:val="Compact"/>
              <w:jc w:val="left"/>
            </w:pPr>
            <w:r>
              <w:t xml:space="preserve">+4.73% (7.1)</w:t>
            </w:r>
          </w:p>
        </w:tc>
        <w:tc>
          <w:tcPr/>
          <w:p>
            <w:pPr>
              <w:pStyle w:val="Compact"/>
              <w:jc w:val="left"/>
            </w:pPr>
            <w:r>
              <w:t xml:space="preserve">+3.86% (6.3)</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+3.62% (5.7)</w:t>
            </w:r>
          </w:p>
        </w:tc>
        <w:tc>
          <w:tcPr/>
          <w:p>
            <w:pPr>
              <w:pStyle w:val="Compact"/>
              <w:jc w:val="left"/>
            </w:pPr>
            <w:r>
              <w:t xml:space="preserve">+2.65% (4.3)</w:t>
            </w:r>
          </w:p>
        </w:tc>
        <w:tc>
          <w:tcPr/>
          <w:p>
            <w:pPr>
              <w:pStyle w:val="Compact"/>
              <w:jc w:val="left"/>
            </w:pPr>
            <w:r>
              <w:t xml:space="preserve">+0.73% (1.4)</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+3.05% (4.9)</w:t>
            </w:r>
          </w:p>
        </w:tc>
        <w:tc>
          <w:tcPr/>
          <w:p>
            <w:pPr>
              <w:pStyle w:val="Compact"/>
              <w:jc w:val="left"/>
            </w:pPr>
            <w:r>
              <w:t xml:space="preserve">+3.06% (5.4)</w:t>
            </w:r>
          </w:p>
        </w:tc>
        <w:tc>
          <w:tcPr/>
          <w:p>
            <w:pPr>
              <w:pStyle w:val="Compact"/>
              <w:jc w:val="left"/>
            </w:pPr>
            <w:r>
              <w:t xml:space="preserve">−0.25% (−0.4)</w:t>
            </w:r>
          </w:p>
        </w:tc>
        <w:tc>
          <w:tcPr/>
          <w:p>
            <w:pPr>
              <w:pStyle w:val="Compact"/>
              <w:jc w:val="left"/>
            </w:pPr>
            <w:r>
              <w:t xml:space="preserve">−2.25% (−4.0)</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+1.49% (2.4)</w:t>
            </w:r>
          </w:p>
        </w:tc>
        <w:tc>
          <w:tcPr/>
          <w:p>
            <w:pPr>
              <w:pStyle w:val="Compact"/>
              <w:jc w:val="left"/>
            </w:pPr>
            <w:r>
              <w:t xml:space="preserve">−0.52% (−0.9)</w:t>
            </w:r>
          </w:p>
        </w:tc>
        <w:tc>
          <w:tcPr/>
          <w:p>
            <w:pPr>
              <w:pStyle w:val="Compact"/>
              <w:jc w:val="left"/>
            </w:pPr>
            <w:r>
              <w:t xml:space="preserve">−4.76% (−7.2)</w:t>
            </w:r>
          </w:p>
        </w:tc>
        <w:tc>
          <w:tcPr/>
          <w:p>
            <w:pPr>
              <w:pStyle w:val="Compact"/>
              <w:jc w:val="left"/>
            </w:pPr>
            <w:r>
              <w:t xml:space="preserve">−6.88% (−11.2)</w:t>
            </w:r>
          </w:p>
        </w:tc>
      </w:tr>
    </w:tbl>
    <w:p>
      <w:pPr>
        <w:pStyle w:val="BodyText"/>
      </w:pPr>
      <w:r>
        <w:t xml:space="preserve">The dual-price baselines are given every advantage: their step size is tuned on held-out planning-window traffic, the warm variant is initialized from the plan LP’s own quota shadow prices, and, so the comparison is not rigged by an unreachable target,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so the comparison is not against a straw controller; the earlier scalar quota-error controller is retained as a practical baseline.</w:t>
      </w:r>
    </w:p>
    <w:p>
      <w:pPr>
        <w:pStyle w:val="BodyText"/>
      </w:pPr>
      <w:r>
        <w:t xml:space="preserve">At exact feasibility all seven policies cluster within a point; most of the value is the forecast itself, which each consumes. Under contention they separate, and the separation is a spectrum set by how the prices are obtained.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two policies that do not learn prices online, the re-solved plan and the fixed optimal dual, are the only ones positive at every level, and the re-solved plan is positive throughout (+2.2% to +4.3%). Two conclusions follow, each carefully scoped. First, the failure under heavy over-subscription is shared by every adaptive dual-price method we test, modern mirror descent included, not an artifact of a weak controller; a well-chosen adaptive method (entropic DMD) is nonetheless competitive through moderate contention, so the claim is about the heavy-contention regime, not adaptation in general. Second, the fixed optimal dual’s survival shows per-campaign pricing itself is not the problem, as linear-programming duality predicts: a static optimal price vector carries the allocation. What fails as contention grows is learning that vector online.</w:t>
      </w:r>
    </w:p>
    <w:p>
      <w:pPr>
        <w:pStyle w:val="BodyText"/>
      </w:pPr>
      <w:r>
        <w:t xml:space="preserve">The deployment rule follows: the LP’s prices are what matter, so obtain them by solving, either recomputing on the pacing cadence (re-solve) or holding the LP optimum (fixed dual); online price learning is competitive only while contention is mild, and no adaptive variant we test survives heavy over-subscription.</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at r = 0.95).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w:t>
      </w:r>
    </w:p>
    <w:p>
      <w:pPr>
        <w:pStyle w:val="BodyText"/>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2"/>
    <w:bookmarkStart w:id="36" w:name="simulation-as-calibration"/>
    <w:p>
      <w:pPr>
        <w:pStyle w:val="Heading2"/>
      </w:pPr>
      <w:r>
        <w:t xml:space="preserve">7</w:t>
      </w:r>
      <w:r>
        <w:t xml:space="preserve">Simulation as calibration</w:t>
      </w:r>
    </w:p>
    <w:p>
      <w:pPr>
        <w:pStyle w:val="FirstParagraph"/>
      </w:pPr>
      <w:r>
        <w:t xml:space="preserve">Before any real log is replayed, a fully synthetic market calibrates the harness where ground truth is known.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34" name="Picture"/>
                  <a:graphic>
                    <a:graphicData uri="http://schemas.openxmlformats.org/drawingml/2006/picture">
                      <pic:pic>
                        <pic:nvPicPr>
                          <pic:cNvPr descr="file:///E:/tmp/claude/E--Projects-Submitted-MobileAd-Comverse/464e82cd-870f-4dc1-b795-92348cf1a9b8/scratchpad/figs/fig2.png" id="35" name="Picture"/>
                          <pic:cNvPicPr>
                            <a:picLocks noChangeArrowheads="1" noChangeAspect="1"/>
                          </pic:cNvPicPr>
                        </pic:nvPicPr>
                        <pic:blipFill>
                          <a:blip r:embed="rId33"/>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Section 8.2’s pacing mechanism and the refinement loop exist to absorb.</w:t>
      </w:r>
    </w:p>
    <w:bookmarkEnd w:id="36"/>
    <w:bookmarkStart w:id="55" w:name="a-reference-serving-architecture"/>
    <w:p>
      <w:pPr>
        <w:pStyle w:val="Heading2"/>
      </w:pPr>
      <w:r>
        <w:t xml:space="preserve">8</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(Section 8.1.3).</w:t>
      </w:r>
    </w:p>
    <w:bookmarkStart w:id="37" w:name="X76cd0aab14a1b3a28329e6411b338cd4e16a2d0"/>
    <w:p>
      <w:pPr>
        <w:pStyle w:val="Heading3"/>
      </w:pPr>
      <w:r>
        <w:t xml:space="preserve">8.1 The offline stage: learning the inputs to the plan</w:t>
      </w:r>
    </w:p>
    <w:p>
      <w:pPr>
        <w:pStyle w:val="FirstParagraph"/>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2"/>
        </w:numPr>
      </w:pPr>
      <w:r>
        <w:t xml:space="preserve">The distribution of (context, profile) pairs observed in the past will recur in the future.</w:t>
      </w:r>
    </w:p>
    <w:p>
      <w:pPr>
        <w:pStyle w:val="Compact"/>
        <w:numPr>
          <w:ilvl w:val="0"/>
          <w:numId w:val="1002"/>
        </w:numPr>
      </w:pPr>
      <w:r>
        <w:t xml:space="preserve">Subscribers who responded similarly under similar conditions will continue to respond similarly.</w:t>
      </w:r>
    </w:p>
    <w:p>
      <w:pPr>
        <w:pStyle w:val="Compact"/>
        <w:numPr>
          <w:ilvl w:val="0"/>
          <w:numId w:val="1002"/>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bookmarkEnd w:id="37"/>
    <w:bookmarkStart w:id="38" w:name="response-records"/>
    <w:p>
      <w:pPr>
        <w:pStyle w:val="Heading3"/>
      </w:pPr>
      <w:r>
        <w:t xml:space="preserve">8.1.1 Response records</w:t>
      </w:r>
    </w:p>
    <w:p>
      <w:pPr>
        <w:pStyle w:val="FirstParagraph"/>
      </w:pP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38"/>
    <w:bookmarkStart w:id="39" w:name="proximity-and-clustering"/>
    <w:p>
      <w:pPr>
        <w:pStyle w:val="Heading3"/>
      </w:pPr>
      <w:r>
        <w:t xml:space="preserve">8.1.2 Proximity and clustering</w:t>
      </w:r>
    </w:p>
    <w:p>
      <w:pPr>
        <w:pStyle w:val="FirstParagraph"/>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(Section 8.2), so predictions blend the behavior of every cluster the subscriber resembles.</w:t>
      </w:r>
    </w:p>
    <w:bookmarkEnd w:id="39"/>
    <w:bookmarkStart w:id="40" w:name="Xcf0c62df256e2cee415416a2e095f7c938d4365"/>
    <w:p>
      <w:pPr>
        <w:pStyle w:val="Heading3"/>
      </w:pPr>
      <w:r>
        <w:t xml:space="preserve">8.1.3 Cluster representation and click estimation</w:t>
      </w:r>
    </w:p>
    <w:p>
      <w:pPr>
        <w:pStyle w:val="FirstParagraph"/>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40"/>
    <w:bookmarkStart w:id="41" w:name="compiling-the-plan-into-lookup-tables"/>
    <w:p>
      <w:pPr>
        <w:pStyle w:val="Heading3"/>
      </w:pPr>
      <w:r>
        <w:t xml:space="preserve">8.1.4 Compiling the plan into lookup tables</w:t>
      </w:r>
    </w:p>
    <w:p>
      <w:pPr>
        <w:pStyle w:val="FirstParagraph"/>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41"/>
    <w:bookmarkStart w:id="45" w:name="X6b41d0bc1b6a7aa734a67750c2b9949c703d461"/>
    <w:p>
      <w:pPr>
        <w:pStyle w:val="Heading3"/>
      </w:pPr>
      <w:r>
        <w:t xml:space="preserve">8.2 The online stage: executing the plan in real time</w:t>
      </w:r>
    </w:p>
    <w:p>
      <w:pPr>
        <w:pStyle w:val="FirstParagraph"/>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43" name="Picture"/>
                  <a:graphic>
                    <a:graphicData uri="http://schemas.openxmlformats.org/drawingml/2006/picture">
                      <pic:pic>
                        <pic:nvPicPr>
                          <pic:cNvPr descr="file:///E:/tmp/claude/E--Projects-Submitted-MobileAd-Comverse/464e82cd-870f-4dc1-b795-92348cf1a9b8/scratchpad/figs/fig3.png" id="44" name="Picture"/>
                          <pic:cNvPicPr>
                            <a:picLocks noChangeArrowheads="1" noChangeAspect="1"/>
                          </pic:cNvPicPr>
                        </pic:nvPicPr>
                        <pic:blipFill>
                          <a:blip r:embed="rId42"/>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bookmarkEnd w:id="45"/>
    <w:bookmarkStart w:id="49" w:name="the-seven-step-decision"/>
    <w:p>
      <w:pPr>
        <w:pStyle w:val="Heading3"/>
      </w:pPr>
      <w:r>
        <w:t xml:space="preserve">8.2.1 The seven-step decision</w:t>
      </w:r>
    </w:p>
    <w:p>
      <w:pPr>
        <w:pStyle w:val="Compact"/>
        <w:numPr>
          <w:ilvl w:val="0"/>
          <w:numId w:val="1003"/>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3"/>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3"/>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3"/>
        </w:numPr>
      </w:pPr>
      <w:r>
        <w:rPr>
          <w:b/>
          <w:bCs/>
        </w:rPr>
        <w:t xml:space="preserve">Predict click probability per candidate</w:t>
      </w:r>
      <w:r>
        <w:t xml:space="preserve">model table</w:t>
      </w:r>
      <w:r>
        <w:t xml:space="preserve"> </w:t>
      </w:r>
      <w:r>
        <w:t xml:space="preserve">Blend cluster-level click rates with the soft-membership weights (Section 8.2.2).</w:t>
      </w:r>
    </w:p>
    <w:p>
      <w:pPr>
        <w:pStyle w:val="Compact"/>
        <w:numPr>
          <w:ilvl w:val="0"/>
          <w:numId w:val="1003"/>
        </w:numPr>
      </w:pPr>
      <w:r>
        <w:rPr>
          <w:b/>
          <w:bCs/>
        </w:rPr>
        <w:t xml:space="preserve">Compute pacing per candidate</w:t>
      </w:r>
      <w:r>
        <w:t xml:space="preserve">status table</w:t>
      </w:r>
      <w:r>
        <w:t xml:space="preserve"> </w:t>
      </w:r>
      <w:r>
        <w:t xml:space="preserve">Compare actual delivery against plan, prorated to this point in the flight (Section 8.2.3).</w:t>
      </w:r>
    </w:p>
    <w:p>
      <w:pPr>
        <w:pStyle w:val="Compact"/>
        <w:numPr>
          <w:ilvl w:val="0"/>
          <w:numId w:val="1003"/>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3"/>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47" name="Picture"/>
                  <a:graphic>
                    <a:graphicData uri="http://schemas.openxmlformats.org/drawingml/2006/picture">
                      <pic:pic>
                        <pic:nvPicPr>
                          <pic:cNvPr descr="file:///E:/tmp/claude/E--Projects-Submitted-MobileAd-Comverse/464e82cd-870f-4dc1-b795-92348cf1a9b8/scratchpad/figs/fig4.png" id="48" name="Picture"/>
                          <pic:cNvPicPr>
                            <a:picLocks noChangeArrowheads="1" noChangeAspect="1"/>
                          </pic:cNvPicPr>
                        </pic:nvPicPr>
                        <pic:blipFill>
                          <a:blip r:embed="rId46"/>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49"/>
    <w:bookmarkStart w:id="50" w:name="click-prediction-by-soft-membership"/>
    <w:p>
      <w:pPr>
        <w:pStyle w:val="Heading3"/>
      </w:pPr>
      <w:r>
        <w:t xml:space="preserve">8.2.2 Click prediction by soft membership</w:t>
      </w:r>
    </w:p>
    <w:p>
      <w:pPr>
        <w:pStyle w:val="FirstParagraph"/>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bookmarkEnd w:id="50"/>
    <w:bookmarkStart w:id="54" w:name="pacing-planned-versus-actual"/>
    <w:p>
      <w:pPr>
        <w:pStyle w:val="Heading3"/>
      </w:pPr>
      <w:r>
        <w:t xml:space="preserve">8.2.3 Pacing: planned versus actual</w:t>
      </w:r>
    </w:p>
    <w:p>
      <w:pPr>
        <w:pStyle w:val="FirstParagraph"/>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2" name="Picture"/>
                  <a:graphic>
                    <a:graphicData uri="http://schemas.openxmlformats.org/drawingml/2006/picture">
                      <pic:pic>
                        <pic:nvPicPr>
                          <pic:cNvPr descr="file:///E:/tmp/claude/E--Projects-Submitted-MobileAd-Comverse/464e82cd-870f-4dc1-b795-92348cf1a9b8/scratchpad/figs/fig5.png" id="53" name="Picture"/>
                          <pic:cNvPicPr>
                            <a:picLocks noChangeArrowheads="1" noChangeAspect="1"/>
                          </pic:cNvPicPr>
                        </pic:nvPicPr>
                        <pic:blipFill>
                          <a:blip r:embed="rId51"/>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54"/>
    <w:bookmarkEnd w:id="55"/>
    <w:bookmarkStart w:id="56" w:name="related-work"/>
    <w:p>
      <w:pPr>
        <w:pStyle w:val="Heading2"/>
      </w:pPr>
      <w:r>
        <w:t xml:space="preserve">9</w:t>
      </w:r>
      <w:r>
        <w:t xml:space="preserve">Related work</w:t>
      </w:r>
    </w:p>
    <w:p>
      <w:pPr>
        <w:pStyle w:val="FirstParagraph"/>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Section 8.2.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56"/>
    <w:bookmarkStart w:id="57" w:name="discussion"/>
    <w:p>
      <w:pPr>
        <w:pStyle w:val="Heading2"/>
      </w:pPr>
      <w:r>
        <w:t xml:space="preserve">10</w:t>
      </w:r>
      <w:r>
        <w:t xml:space="preserve">Discussion</w:t>
      </w:r>
    </w:p>
    <w:p>
      <w:pPr>
        <w:pStyle w:val="FirstParagraph"/>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57"/>
    <w:bookmarkStart w:id="58" w:name="scope-and-assumptions"/>
    <w:p>
      <w:pPr>
        <w:pStyle w:val="Heading2"/>
      </w:pPr>
      <w:r>
        <w:t xml:space="preserve">11</w:t>
      </w:r>
      <w:r>
        <w:t xml:space="preserve">Scope and assumptions</w:t>
      </w:r>
    </w:p>
    <w:p>
      <w:pPr>
        <w:pStyle w:val="FirstParagraph"/>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Section 8.1: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58"/>
    <w:bookmarkStart w:id="59" w:name="references"/>
    <w:p>
      <w:pPr>
        <w:pStyle w:val="Heading2"/>
      </w:pPr>
      <w:r>
        <w:t xml:space="preserve">References</w:t>
      </w:r>
    </w:p>
    <w:p>
      <w:pPr>
        <w:pStyle w:val="Compact"/>
        <w:numPr>
          <w:ilvl w:val="0"/>
          <w:numId w:val="1004"/>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4"/>
        </w:numPr>
      </w:pPr>
      <w:r>
        <w:t xml:space="preserve">Alibaba Tianchi. Ad Display/Click Data on Taobao.com. Dataset 56, tianchi.aliyun.com/dataset/56, accessed August 2026.</w:t>
      </w:r>
    </w:p>
    <w:p>
      <w:pPr>
        <w:pStyle w:val="Compact"/>
        <w:numPr>
          <w:ilvl w:val="0"/>
          <w:numId w:val="1004"/>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4"/>
        </w:numPr>
      </w:pPr>
      <w:r>
        <w:t xml:space="preserve">Avazu. Click-Through Rate Prediction. Kaggle competition, kaggle.com/c/avazu-ctr-prediction, 2014, accessed August 2026.</w:t>
      </w:r>
    </w:p>
    <w:p>
      <w:pPr>
        <w:pStyle w:val="Compact"/>
        <w:numPr>
          <w:ilvl w:val="0"/>
          <w:numId w:val="1004"/>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4"/>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4"/>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4"/>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4"/>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4"/>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4"/>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4"/>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4"/>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4"/>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4"/>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4"/>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4"/>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4"/>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4"/>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4"/>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Compact"/>
        <w:numPr>
          <w:ilvl w:val="0"/>
          <w:numId w:val="1004"/>
        </w:numPr>
      </w:pP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Compact"/>
        <w:numPr>
          <w:ilvl w:val="0"/>
          <w:numId w:val="1004"/>
        </w:numPr>
      </w:pP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Compact"/>
        <w:numPr>
          <w:ilvl w:val="0"/>
          <w:numId w:val="1004"/>
        </w:numPr>
      </w:pP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Compact"/>
        <w:numPr>
          <w:ilvl w:val="0"/>
          <w:numId w:val="1004"/>
        </w:numPr>
      </w:pP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p>
      <w:pPr>
        <w:pStyle w:val="FirstParagraph"/>
      </w:pPr>
      <w:r>
        <w:t xml:space="preserve">Preprint, August 2026. Code and replay harness: github.com/ApartsinProjects/optimal-impression-allocation.</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2026-08-30T10:10:16Z</dcterms:created>
  <dcterms:modified xsi:type="dcterms:W3CDTF">2026-08-30T10:10:16Z</dcterms:modified>
</cp:coreProperties>
</file>

<file path=docProps/custom.xml><?xml version="1.0" encoding="utf-8"?>
<Properties xmlns="http://schemas.openxmlformats.org/officeDocument/2006/custom-properties" xmlns:vt="http://schemas.openxmlformats.org/officeDocument/2006/docPropsVTypes"/>
</file>