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2.png" ContentType="image/png"/>
  <Override PartName="/word/media/rId46.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Preprint</w:t>
      </w:r>
    </w:p>
    <w:bookmarkStart w:id="20" w:name="segment-where-the-interaction-persists"/>
    <w:p>
      <w:pPr>
        <w:pStyle w:val="Heading1"/>
      </w:pPr>
      <w:r>
        <w:t xml:space="preserve">Segment Where the Interaction Persists</w:t>
      </w:r>
    </w:p>
    <w:p>
      <w:pPr>
        <w:pStyle w:val="FirstParagraph"/>
      </w:pPr>
      <w:r>
        <w:t xml:space="preserve">Planning, Pacing, and a Contention Regime Map for Quota-Constrained Impression Allocation over Fine Audience Segments.</w:t>
      </w:r>
    </w:p>
    <w:p>
      <w:pPr>
        <w:pStyle w:val="BodyText"/>
      </w:pPr>
      <w:r>
        <w:t xml:space="preserve">Alexander Apartsin</w:t>
      </w:r>
      <w:r>
        <w:rPr>
          <w:vertAlign w:val="superscript"/>
        </w:rPr>
        <w:t xml:space="preserve">1</w:t>
      </w:r>
      <w:r>
        <w:t xml:space="preserve"> · Yehudit Aperstein</w:t>
      </w:r>
      <w:r>
        <w:rPr>
          <w:vertAlign w:val="superscript"/>
        </w:rPr>
        <w:t xml:space="preserve">2</w:t>
      </w:r>
    </w:p>
    <w:p>
      <w:pPr>
        <w:pStyle w:val="BodyText"/>
      </w:pPr>
      <w:r>
        <w:rPr>
          <w:vertAlign w:val="superscript"/>
        </w:rPr>
        <w:t xml:space="preserve">1</w:t>
      </w:r>
      <w:r>
        <w:t xml:space="preserve">School of Computer Science, Faculty of Sciences, Holon Institute of Technology (HIT), Holon, Israel</w:t>
      </w:r>
      <w:r>
        <w:br/>
      </w:r>
      <w:r>
        <w:rPr>
          <w:vertAlign w:val="superscript"/>
        </w:rPr>
        <w:t xml:space="preserve">2</w:t>
      </w:r>
      <w:r>
        <w:t xml:space="preserve">Intelligent Systems, Afeka Academic College of Engineering, Tel-Aviv, Israel</w:t>
      </w:r>
    </w:p>
    <w:bookmarkEnd w:id="20"/>
    <w:bookmarkStart w:id="21" w:name="abstract"/>
    <w:p>
      <w:pPr>
        <w:pStyle w:val="Heading2"/>
      </w:pPr>
      <w:r>
        <w:t xml:space="preserve">Abstract</w:t>
      </w:r>
    </w:p>
    <w:p>
      <w:pPr>
        <w:pStyle w:val="FirstParagraph"/>
      </w:pPr>
      <w:r>
        <w:t xml:space="preserve">Under fixed campaign quotas, impression allocation can exploit exactly one statistical object: campaign-by-segment interaction in click-through rate that persists across planning windows. Main effects are neutralized: campaign effects by the quotas, segment effects by supply. We give a pre-committable rule for choosing the segmentation an allocator should use: measure the persistence of double-centered interaction residuals across adjacent planning windows, segment only on the axes that persist, and set granularity in proportion to per-cell data density. On 26.6M impressions of the Taobao display-advertising log, we compute the rule from planning-window data alone, without reference to replay outcomes. It selects the configuration whose replay results match the full ablation ordering: activity tiers pay, demographics and time do not, and finer granularity pays only while cells stay dense. On Avazu the rule ranks axes consistently, and the boundary where a daily plan fails confirms the re-planning timescale it implies. A pre-registered application to a third log (Outbrain), with the configuration frozen before replay, transfers the rule’s persistence ranking and marks its scope: persistence identifies exploitable axes, but contention governs the realized lift. An uncontended market yields little to allocate, whatever the segmentation.</w:t>
      </w:r>
    </w:p>
    <w:p>
      <w:pPr>
        <w:pStyle w:val="BodyText"/>
      </w:pPr>
      <w:r>
        <w:t xml:space="preserve">Evaluation uses a replay protocol hardened against a trap we document: single-model replay inflates lift through a winner’s curse. Dual-model scoring, an exact uniform-null control, support and fatigue audits, and user-clustered inference (headline z = 4.55) delimit what public logs can show, and a semi-synthetic benchmark with a known ground truth confirms the protocol recovers the true policy ranking and the true best policy, even under an adversarial logging policy that selects on the outcome. The protocol yields a regime map. At exact feasibility, plan-informed policies beat greedy serving by 3.5–4.7% expected clicks, and information-matched, feasibility-aware dual-price pacing nearly matches them. Under over-subscription (quotas at 110–150% of supply), online price learning degrades along a spectrum: a scalar controller fails first, and even dual mirror descent, the state-of-the-art adaptive method, tracks the plan through moderate contention but falls below greedy under heavy over-subscription. The periodically re-solved plan dominates every regime (+2.2 to +4.4% over greedy, z ≥ 3.4) and is the one price source positive across every contention level, dataset, and objective we test: a fixed dual pinned once at the LP optimum survives the click objective, but under a revenue objective with heterogeneous per-click and per-impression values and delivery penalties it turns negative under contention, so the durable prescription is to obtain prices by solving and re-solving, not by learning them online. The ordering reproduces on a second dataset (Outbrain, 87M impressions), where online pacing deepens to −44%, and the whole regime map transfers to the revenue objective, where the plan tier’s advantage grows as delivery guarantees harden. Grounding the gains in realized outcomes is inconclusive on the small logging-matched subset, an inherent limit of public-log evaluation.</w:t>
      </w:r>
    </w:p>
    <w:bookmarkEnd w:id="21"/>
    <w:bookmarkStart w:id="22" w:name="introduction"/>
    <w:p>
      <w:pPr>
        <w:pStyle w:val="Heading2"/>
      </w:pPr>
      <w:r>
        <w:t xml:space="preserve">1</w:t>
      </w:r>
      <w:r>
        <w:t xml:space="preserve">Introduction</w:t>
      </w:r>
    </w:p>
    <w:p>
      <w:pPr>
        <w:pStyle w:val="FirstParagraph"/>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pPr>
      <w:r>
        <w:t xml:space="preserve">On the open web this failure is blunted by coarseness: broad audiences are interchangeable audiences, so the opportunity cost of a greedy choice is small. Operator-run mobile advertising inverts that condition: verified profiles and gateway-complete response attribution support far finer segmentation, and fine segmentation is precisely what advertisers pay an operator for, not “males 18–49” but urban music buyers on sports content on weekend afternoons. That deployment setting motivated this study; Section 8 describes the serving design built for it.</w:t>
      </w:r>
    </w:p>
    <w:p>
      <w:pPr>
        <w:pStyle w:val="BodyText"/>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5 shows its answer is governed by which interactions persist, not by maximal fineness.</w:t>
      </w:r>
    </w:p>
    <w:p>
      <w:pPr>
        <w:pStyle w:val="BodyText"/>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online dual-price learning collapses while solving for the prices does not, a result that holds on a second dataset and under a revenue objective with delivery guarantees.</w:t>
      </w:r>
    </w:p>
    <w:p>
      <w:pPr>
        <w:pStyle w:val="BodyText"/>
      </w:pPr>
      <w:r>
        <w:t xml:space="preserve">Together these compose a three-step rule an operator’s planning team can act on directly.</w:t>
      </w:r>
      <w:r>
        <w:t xml:space="preserve"> </w:t>
      </w:r>
      <w:r>
        <w:rPr>
          <w:b/>
          <w:bCs/>
        </w:rPr>
        <w:t xml:space="preserve">Probe persistence</w:t>
      </w:r>
      <w:r>
        <w:t xml:space="preserve"> </w:t>
      </w:r>
      <w:r>
        <w:t xml:space="preserve">to choose the segmentation: keep the axes whose campaign-by-segment interaction persists across planning windows, at the depth per-cell data supports.</w:t>
      </w:r>
      <w:r>
        <w:t xml:space="preserve"> </w:t>
      </w:r>
      <w:r>
        <w:rPr>
          <w:b/>
          <w:bCs/>
        </w:rPr>
        <w:t xml:space="preserve">Measure contention</w:t>
      </w:r>
      <w:r>
        <w:t xml:space="preserve"> </w:t>
      </w:r>
      <w:r>
        <w:t xml:space="preserve">to decide whether allocating is worth the effort at all: compare each segment’s supply to the quotas booked against it, because an uncontended market yields little to allocate whatever the segmentation.</w:t>
      </w:r>
      <w:r>
        <w:t xml:space="preserve"> </w:t>
      </w:r>
      <w:r>
        <w:rPr>
          <w:b/>
          <w:bCs/>
        </w:rPr>
        <w:t xml:space="preserve">Solve for the prices</w:t>
      </w:r>
      <w:r>
        <w:t xml:space="preserve"> </w:t>
      </w:r>
      <w:r>
        <w:t xml:space="preserve">when it is contended: obtain the dual prices by solving the plan and re-solving on the pacing cadence, rather than learning them online, which is the only price source robust across every contention level, dataset, and objective we test. The rest of the paper establishes each step and the evidence behind it.</w:t>
      </w:r>
    </w:p>
    <w:p>
      <w:pPr>
        <w:pStyle w:val="BodyText"/>
      </w:pPr>
      <w:r>
        <w:t xml:space="preserve">Section 2 quantifies the cost of greedy serving on a minimal instance and Section 3 states the allocation program and its interaction-invariance structure. Section 4 develops the replay protocol and validates it against a known ground truth, Section 5 the persistence rule, and Section 6 the regime map, its cross-dataset and revenue-objective replications. Section 7 calibrates the harness on a synthetic market with known ground truth, Section 8 presents the reference serving architecture that motivated the study, and Section 9 situates the work in the online-allocation and offline-evaluation literature. Sections 10 and 11 close with design principles and scope.</w:t>
      </w:r>
    </w:p>
    <w:bookmarkEnd w:id="22"/>
    <w:bookmarkStart w:id="26" w:name="the-allocation-problem-a-worked-example"/>
    <w:p>
      <w:pPr>
        <w:pStyle w:val="Heading2"/>
      </w:pPr>
      <w:r>
        <w:t xml:space="preserve">2</w:t>
      </w:r>
      <w:r>
        <w:t xml:space="preserve">The allocation problem: a worked example</w:t>
      </w:r>
    </w:p>
    <w:p>
      <w:pPr>
        <w:pStyle w:val="FirstParagraph"/>
      </w:pPr>
      <w:r>
        <w:t xml:space="preserve">Consider the smallest interesting instance.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Subscriber</w:t>
            </w:r>
          </w:p>
        </w:tc>
        <w:tc>
          <w:tcPr/>
          <w:p>
            <w:pPr>
              <w:pStyle w:val="Compact"/>
              <w:jc w:val="left"/>
            </w:pPr>
            <w:r>
              <w:t xml:space="preserve">P(click | drink)</w:t>
            </w:r>
          </w:p>
        </w:tc>
        <w:tc>
          <w:tcPr/>
          <w:p>
            <w:pPr>
              <w:pStyle w:val="Compact"/>
              <w:jc w:val="left"/>
            </w:pPr>
            <w:r>
              <w:t xml:space="preserve">P(click | car)</w:t>
            </w:r>
          </w:p>
        </w:tc>
      </w:tr>
      <w:tr>
        <w:tc>
          <w:tcPr/>
          <w:p>
            <w:pPr>
              <w:pStyle w:val="Compact"/>
              <w:jc w:val="left"/>
            </w:pPr>
            <w:r>
              <w:t xml:space="preserve">u₁</w:t>
            </w:r>
          </w:p>
        </w:tc>
        <w:tc>
          <w:tcPr/>
          <w:p>
            <w:pPr>
              <w:pStyle w:val="Compact"/>
              <w:jc w:val="left"/>
            </w:pPr>
            <w:r>
              <w:t xml:space="preserve">0.10</w:t>
            </w:r>
          </w:p>
        </w:tc>
        <w:tc>
          <w:tcPr/>
          <w:p>
            <w:pPr>
              <w:pStyle w:val="Compact"/>
              <w:jc w:val="left"/>
            </w:pPr>
            <w:r>
              <w:t xml:space="preserve">0.80</w:t>
            </w:r>
          </w:p>
        </w:tc>
      </w:tr>
      <w:tr>
        <w:tc>
          <w:tcPr/>
          <w:p>
            <w:pPr>
              <w:pStyle w:val="Compact"/>
              <w:jc w:val="left"/>
            </w:pPr>
            <w:r>
              <w:t xml:space="preserve">u₂</w:t>
            </w:r>
          </w:p>
        </w:tc>
        <w:tc>
          <w:tcPr/>
          <w:p>
            <w:pPr>
              <w:pStyle w:val="Compact"/>
              <w:jc w:val="left"/>
            </w:pPr>
            <w:r>
              <w:t xml:space="preserve">0.30</w:t>
            </w:r>
          </w:p>
        </w:tc>
        <w:tc>
          <w:tcPr/>
          <w:p>
            <w:pPr>
              <w:pStyle w:val="Compact"/>
              <w:jc w:val="left"/>
            </w:pPr>
            <w:r>
              <w:t xml:space="preserve">0.50</w:t>
            </w:r>
          </w:p>
        </w:tc>
      </w:tr>
      <w:tr>
        <w:tc>
          <w:tcPr/>
          <w:p>
            <w:pPr>
              <w:pStyle w:val="Compact"/>
              <w:jc w:val="left"/>
            </w:pPr>
            <w:r>
              <w:t xml:space="preserve">u₃</w:t>
            </w:r>
          </w:p>
        </w:tc>
        <w:tc>
          <w:tcPr/>
          <w:p>
            <w:pPr>
              <w:pStyle w:val="Compact"/>
              <w:jc w:val="left"/>
            </w:pPr>
            <w:r>
              <w:t xml:space="preserve">0.20</w:t>
            </w:r>
          </w:p>
        </w:tc>
        <w:tc>
          <w:tcPr/>
          <w:p>
            <w:pPr>
              <w:pStyle w:val="Compact"/>
              <w:jc w:val="left"/>
            </w:pPr>
            <w:r>
              <w:t xml:space="preserve">0.60</w:t>
            </w:r>
          </w:p>
        </w:tc>
      </w:tr>
      <w:tr>
        <w:tc>
          <w:tcPr/>
          <w:p>
            <w:pPr>
              <w:pStyle w:val="Compact"/>
              <w:jc w:val="left"/>
            </w:pPr>
            <w:r>
              <w:t xml:space="preserve">u₄</w:t>
            </w:r>
          </w:p>
        </w:tc>
        <w:tc>
          <w:tcPr/>
          <w:p>
            <w:pPr>
              <w:pStyle w:val="Compact"/>
              <w:jc w:val="left"/>
            </w:pPr>
            <w:r>
              <w:t xml:space="preserve">0.40</w:t>
            </w:r>
          </w:p>
        </w:tc>
        <w:tc>
          <w:tcPr/>
          <w:p>
            <w:pPr>
              <w:pStyle w:val="Compact"/>
              <w:jc w:val="left"/>
            </w:pPr>
            <w:r>
              <w:t xml:space="preserve">0.70</w:t>
            </w:r>
          </w:p>
        </w:tc>
      </w:tr>
    </w:tbl>
    <w:p>
      <w:pPr>
        <w:pStyle w:val="BodyText"/>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222500"/>
                  <wp:effectExtent b="0" l="0" r="0" t="0"/>
                  <wp:docPr descr="" title="" id="24" name="Picture"/>
                  <a:graphic>
                    <a:graphicData uri="http://schemas.openxmlformats.org/drawingml/2006/picture">
                      <pic:pic>
                        <pic:nvPicPr>
                          <pic:cNvPr descr="file:///E:/tmp/claude/E--Projects-Submitted-MobileAd-Comverse/464e82cd-870f-4dc1-b795-92348cf1a9b8/scratchpad/figs/fig1.png" id="25" name="Picture"/>
                          <pic:cNvPicPr>
                            <a:picLocks noChangeArrowheads="1" noChangeAspect="1"/>
                          </pic:cNvPicPr>
                        </pic:nvPicPr>
                        <pic:blipFill>
                          <a:blip r:embed="rId23"/>
                          <a:stretch>
                            <a:fillRect/>
                          </a:stretch>
                        </pic:blipFill>
                        <pic:spPr bwMode="auto">
                          <a:xfrm>
                            <a:off x="0" y="0"/>
                            <a:ext cx="5334000" cy="2222500"/>
                          </a:xfrm>
                          <a:prstGeom prst="rect">
                            <a:avLst/>
                          </a:prstGeom>
                          <a:noFill/>
                          <a:ln w="9525">
                            <a:noFill/>
                            <a:headEnd/>
                            <a:tailEnd/>
                          </a:ln>
                        </pic:spPr>
                      </pic:pic>
                    </a:graphicData>
                  </a:graphic>
                </wp:inline>
              </w:drawing>
            </w:r>
          </w:p>
        </w:tc>
      </w:tr>
    </w:tbl>
    <w:p>
      <w:pPr>
        <w:pStyle w:val="ImageCaption"/>
      </w:pPr>
      <w:r>
        <w:t xml:space="preserve">Figure 1.</w:t>
      </w:r>
      <w:r>
        <w:t xml:space="preserve"> </w:t>
      </w:r>
      <w:r>
        <w:t xml:space="preserve">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26"/>
    <w:bookmarkStart w:id="28" w:name="formulation"/>
    <w:p>
      <w:pPr>
        <w:pStyle w:val="Heading2"/>
      </w:pPr>
      <w:r>
        <w:t xml:space="preserve">3</w:t>
      </w:r>
      <w:r>
        <w:t xml:space="preserve">Formulation</w:t>
      </w:r>
    </w:p>
    <w:p>
      <w:pPr>
        <w:pStyle w:val="FirstParagraph"/>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SourceCode"/>
      </w:pPr>
      <w:r>
        <w:rPr>
          <w:rStyle w:val="VerbatimChar"/>
        </w:rPr>
        <w:t xml:space="preserve">maximize    Σc,s  xc,s · ( rc + qc · pc,s )</w:t>
      </w:r>
      <w:r>
        <w:br/>
      </w:r>
      <w:r>
        <w:br/>
      </w:r>
      <w:r>
        <w:rPr>
          <w:rStyle w:val="VerbatimChar"/>
        </w:rPr>
        <w:t xml:space="preserve">subject to  Σc xc,s  ≤  Hs        (segment supply)</w:t>
      </w:r>
      <w:r>
        <w:br/>
      </w:r>
      <w:r>
        <w:rPr>
          <w:rStyle w:val="VerbatimChar"/>
        </w:rPr>
        <w:t xml:space="preserve">            Σs xc,s  ≤  Qc        (campaign quota)</w:t>
      </w:r>
      <w:r>
        <w:br/>
      </w:r>
      <w:r>
        <w:rPr>
          <w:rStyle w:val="VerbatimChar"/>
        </w:rPr>
        <w:t xml:space="preserve">            xc,s = 0 where targeting excludes (c, s)</w:t>
      </w:r>
      <w:r>
        <w:br/>
      </w:r>
      <w:r>
        <w:rPr>
          <w:rStyle w:val="VerbatimChar"/>
        </w:rPr>
        <w:t xml:space="preserve">            xc,s  ≥  0</w:t>
      </w:r>
    </w:p>
    <w:p>
      <w:pPr>
        <w:pStyle w:val="FirstParagraph"/>
      </w:pPr>
      <w:r>
        <w:t xml:space="preserve">Figure 1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6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Start w:id="27" w:name="Xb8b18ac5c60ec5742410ace98e579bc138671d3"/>
    <w:p>
      <w:pPr>
        <w:pStyle w:val="Heading3"/>
      </w:pPr>
      <w:r>
        <w:t xml:space="preserve">3.1 Interaction invariance under fixed margins</w:t>
      </w:r>
    </w:p>
    <w:p>
      <w:pPr>
        <w:pStyle w:val="FirstParagraph"/>
      </w:pPr>
      <w:r>
        <w:t xml:space="preserve">The value matrix admits an additive decomposition into a campaign main effect, a segment main effect, and an interaction residual,</w:t>
      </w:r>
    </w:p>
    <w:p>
      <w:pPr>
        <w:pStyle w:val="SourceCode"/>
      </w:pPr>
      <w:r>
        <w:rPr>
          <w:rStyle w:val="VerbatimChar"/>
        </w:rPr>
        <w:t xml:space="preserve">vcs  =  ac  +  bs  +  gcs,</w:t>
      </w:r>
    </w:p>
    <w:p>
      <w:pPr>
        <w:pStyle w:val="FirstParagraph"/>
      </w:pPr>
      <w:r>
        <w:t xml:space="preserve">where</w:t>
      </w:r>
      <w:r>
        <w:t xml:space="preserve"> </w:t>
      </w:r>
      <w:r>
        <w:rPr>
          <w:i/>
          <w:iCs/>
        </w:rPr>
        <w:t xml:space="preserve">g</w:t>
      </w:r>
      <w:r>
        <w:t xml:space="preserve"> </w:t>
      </w:r>
      <w:r>
        <w:t xml:space="preserve">is</w:t>
      </w:r>
      <w:r>
        <w:t xml:space="preserve"> </w:t>
      </w:r>
      <w:r>
        <w:rPr>
          <w:b/>
          <w:bCs/>
        </w:rPr>
        <w:t xml:space="preserve">double-centered</w:t>
      </w:r>
      <w:r>
        <w:t xml:space="preserve">: its supply-weighted average over segments is zero for every campaign, and over campaigns is zero for every segment. This decomposition is unique and always exists;</w:t>
      </w:r>
      <w:r>
        <w:t xml:space="preserve"> </w:t>
      </w:r>
      <w:r>
        <w:rPr>
          <w:i/>
          <w:iCs/>
        </w:rPr>
        <w:t xml:space="preserve">a</w:t>
      </w:r>
      <w:r>
        <w:rPr>
          <w:i/>
          <w:iCs/>
          <w:vertAlign w:val="subscript"/>
        </w:rPr>
        <w:t xml:space="preserve">c</w:t>
      </w:r>
      <w:r>
        <w:t xml:space="preserve"> </w:t>
      </w:r>
      <w:r>
        <w:t xml:space="preserve">is campaign</w:t>
      </w:r>
      <w:r>
        <w:t xml:space="preserve"> </w:t>
      </w:r>
      <w:r>
        <w:rPr>
          <w:i/>
          <w:iCs/>
        </w:rPr>
        <w:t xml:space="preserve">c</w:t>
      </w:r>
      <w:r>
        <w:t xml:space="preserve">’s average value,</w:t>
      </w:r>
      <w:r>
        <w:t xml:space="preserve"> </w:t>
      </w:r>
      <w:r>
        <w:rPr>
          <w:i/>
          <w:iCs/>
        </w:rPr>
        <w:t xml:space="preserve">b</w:t>
      </w:r>
      <w:r>
        <w:rPr>
          <w:i/>
          <w:iCs/>
          <w:vertAlign w:val="subscript"/>
        </w:rPr>
        <w:t xml:space="preserve">s</w:t>
      </w:r>
      <w:r>
        <w:t xml:space="preserve"> </w:t>
      </w:r>
      <w:r>
        <w:t xml:space="preserve">segment</w:t>
      </w:r>
      <w:r>
        <w:t xml:space="preserve"> </w:t>
      </w:r>
      <w:r>
        <w:rPr>
          <w:i/>
          <w:iCs/>
        </w:rPr>
        <w:t xml:space="preserve">s</w:t>
      </w:r>
      <w:r>
        <w:t xml:space="preserve">’s deviation, and</w:t>
      </w:r>
      <w:r>
        <w:t xml:space="preserve"> </w:t>
      </w:r>
      <w:r>
        <w:rPr>
          <w:i/>
          <w:iCs/>
        </w:rPr>
        <w:t xml:space="preserve">g</w:t>
      </w:r>
      <w:r>
        <w:rPr>
          <w:i/>
          <w:iCs/>
          <w:vertAlign w:val="subscript"/>
        </w:rPr>
        <w:t xml:space="preserve">cs</w:t>
      </w:r>
      <w:r>
        <w:t xml:space="preserve"> </w:t>
      </w:r>
      <w:r>
        <w:t xml:space="preserve">the part of the value specific to the pairing. The following fact is the paper’s conceptual backbone.</w:t>
      </w:r>
    </w:p>
    <w:p>
      <w:pPr>
        <w:pStyle w:val="BodyText"/>
      </w:pPr>
      <w:r>
        <w:rPr>
          <w:b/>
          <w:bCs/>
        </w:rPr>
        <w:t xml:space="preserve">Proposition 1 (interaction invariance).</w:t>
      </w:r>
      <w:r>
        <w:t xml:space="preserve"> </w:t>
      </w:r>
      <w:r>
        <w:t xml:space="preserve">Let</w:t>
      </w:r>
      <w:r>
        <w:t xml:space="preserve"> </w:t>
      </w:r>
      <w:r>
        <w:rPr>
          <w:i/>
          <w:iCs/>
        </w:rPr>
        <w:t xml:space="preserve">x</w:t>
      </w:r>
      <w:r>
        <w:t xml:space="preserve"> </w:t>
      </w:r>
      <w:r>
        <w:t xml:space="preserve">and</w:t>
      </w:r>
      <w:r>
        <w:t xml:space="preserve"> </w:t>
      </w:r>
      <w:r>
        <w:rPr>
          <w:i/>
          <w:iCs/>
        </w:rPr>
        <w:t xml:space="preserve">x′</w:t>
      </w:r>
      <w:r>
        <w:t xml:space="preserve"> </w:t>
      </w:r>
      <w:r>
        <w:t xml:space="preserve">be any two feasible allocations with identical campaign margins (Σ</w:t>
      </w:r>
      <w:r>
        <w:rPr>
          <w:vertAlign w:val="subscript"/>
        </w:rPr>
        <w:t xml:space="preserve">s</w:t>
      </w:r>
      <w:r>
        <w:t xml:space="preserve"> </w:t>
      </w:r>
      <w:r>
        <w:t xml:space="preserve">x</w:t>
      </w:r>
      <w:r>
        <w:rPr>
          <w:vertAlign w:val="subscript"/>
        </w:rPr>
        <w:t xml:space="preserve">c,s</w:t>
      </w:r>
      <w:r>
        <w:t xml:space="preserve"> </w:t>
      </w:r>
      <w:r>
        <w:t xml:space="preserve">= Σ</w:t>
      </w:r>
      <w:r>
        <w:rPr>
          <w:vertAlign w:val="subscript"/>
        </w:rPr>
        <w:t xml:space="preserve">s</w:t>
      </w:r>
      <w:r>
        <w:t xml:space="preserve"> </w:t>
      </w:r>
      <w:r>
        <w:t xml:space="preserve">x′</w:t>
      </w:r>
      <w:r>
        <w:rPr>
          <w:vertAlign w:val="subscript"/>
        </w:rPr>
        <w:t xml:space="preserve">c,s</w:t>
      </w:r>
      <w:r>
        <w:t xml:space="preserve"> </w:t>
      </w:r>
      <w:r>
        <w:t xml:space="preserve">for every</w:t>
      </w:r>
      <w:r>
        <w:t xml:space="preserve"> </w:t>
      </w:r>
      <w:r>
        <w:rPr>
          <w:i/>
          <w:iCs/>
        </w:rPr>
        <w:t xml:space="preserve">c</w:t>
      </w:r>
      <w:r>
        <w:t xml:space="preserve">) and identical segment margins (Σ</w:t>
      </w:r>
      <w:r>
        <w:rPr>
          <w:vertAlign w:val="subscript"/>
        </w:rPr>
        <w:t xml:space="preserve">c</w:t>
      </w:r>
      <w:r>
        <w:t xml:space="preserve"> </w:t>
      </w:r>
      <w:r>
        <w:t xml:space="preserve">x</w:t>
      </w:r>
      <w:r>
        <w:rPr>
          <w:vertAlign w:val="subscript"/>
        </w:rPr>
        <w:t xml:space="preserve">c,s</w:t>
      </w:r>
      <w:r>
        <w:t xml:space="preserve"> </w:t>
      </w:r>
      <w:r>
        <w:t xml:space="preserve">= Σ</w:t>
      </w:r>
      <w:r>
        <w:rPr>
          <w:vertAlign w:val="subscript"/>
        </w:rPr>
        <w:t xml:space="preserve">c</w:t>
      </w:r>
      <w:r>
        <w:t xml:space="preserve"> </w:t>
      </w:r>
      <w:r>
        <w:t xml:space="preserve">x′</w:t>
      </w:r>
      <w:r>
        <w:rPr>
          <w:vertAlign w:val="subscript"/>
        </w:rPr>
        <w:t xml:space="preserve">c,s</w:t>
      </w:r>
      <w:r>
        <w:t xml:space="preserve"> </w:t>
      </w:r>
      <w:r>
        <w:t xml:space="preserve">for every</w:t>
      </w:r>
      <w:r>
        <w:t xml:space="preserve"> </w:t>
      </w:r>
      <w:r>
        <w:rPr>
          <w:i/>
          <w:iCs/>
        </w:rPr>
        <w:t xml:space="preserve">s</w:t>
      </w:r>
      <w:r>
        <w:t xml:space="preserve">). Then their values differ only through the interaction term:</w:t>
      </w:r>
    </w:p>
    <w:p>
      <w:pPr>
        <w:pStyle w:val="SourceCode"/>
      </w:pPr>
      <w:r>
        <w:rPr>
          <w:rStyle w:val="VerbatimChar"/>
        </w:rPr>
        <w:t xml:space="preserve">V(x) − V(x′)  =  Σc,s ( xc,s − x′c,s ) · gc,s.</w:t>
      </w:r>
    </w:p>
    <w:p>
      <w:pPr>
        <w:pStyle w:val="FirstParagraph"/>
      </w:pPr>
      <w:r>
        <w:rPr>
          <w:b/>
          <w:bCs/>
        </w:rPr>
        <w:t xml:space="preserve">Proof.</w:t>
      </w:r>
      <w:r>
        <w:t xml:space="preserve"> </w:t>
      </w:r>
      <w:r>
        <w:t xml:space="preserve">Expanding the objective, V(x) = Σ</w:t>
      </w:r>
      <w:r>
        <w:rPr>
          <w:vertAlign w:val="subscript"/>
        </w:rPr>
        <w:t xml:space="preserve">c</w:t>
      </w:r>
      <w:r>
        <w:t xml:space="preserve"> </w:t>
      </w:r>
      <w:r>
        <w:t xml:space="preserve">a</w:t>
      </w:r>
      <w:r>
        <w:rPr>
          <w:vertAlign w:val="subscript"/>
        </w:rPr>
        <w:t xml:space="preserve">c</w:t>
      </w:r>
      <w:r>
        <w:t xml:space="preserve"> </w:t>
      </w:r>
      <w:r>
        <w:t xml:space="preserve">(Σ</w:t>
      </w:r>
      <w:r>
        <w:rPr>
          <w:vertAlign w:val="subscript"/>
        </w:rPr>
        <w:t xml:space="preserve">s</w:t>
      </w:r>
      <w:r>
        <w:t xml:space="preserve"> </w:t>
      </w:r>
      <w:r>
        <w:t xml:space="preserve">x</w:t>
      </w:r>
      <w:r>
        <w:rPr>
          <w:vertAlign w:val="subscript"/>
        </w:rPr>
        <w:t xml:space="preserve">c,s</w:t>
      </w:r>
      <w:r>
        <w:t xml:space="preserve">) + Σ</w:t>
      </w:r>
      <w:r>
        <w:rPr>
          <w:vertAlign w:val="subscript"/>
        </w:rPr>
        <w:t xml:space="preserve">s</w:t>
      </w:r>
      <w:r>
        <w:t xml:space="preserve"> </w:t>
      </w:r>
      <w:r>
        <w:t xml:space="preserve">b</w:t>
      </w:r>
      <w:r>
        <w:rPr>
          <w:vertAlign w:val="subscript"/>
        </w:rPr>
        <w:t xml:space="preserve">s</w:t>
      </w:r>
      <w:r>
        <w:t xml:space="preserve"> </w:t>
      </w:r>
      <w:r>
        <w:t xml:space="preserve">(Σ</w:t>
      </w:r>
      <w:r>
        <w:rPr>
          <w:vertAlign w:val="subscript"/>
        </w:rPr>
        <w:t xml:space="preserve">c</w:t>
      </w:r>
      <w:r>
        <w:t xml:space="preserve"> </w:t>
      </w:r>
      <w:r>
        <w:t xml:space="preserve">x</w:t>
      </w:r>
      <w:r>
        <w:rPr>
          <w:vertAlign w:val="subscript"/>
        </w:rPr>
        <w:t xml:space="preserve">c,s</w:t>
      </w:r>
      <w:r>
        <w:t xml:space="preserve">) + Σ</w:t>
      </w:r>
      <w:r>
        <w:rPr>
          <w:vertAlign w:val="subscript"/>
        </w:rPr>
        <w:t xml:space="preserve">c,s</w:t>
      </w:r>
      <w:r>
        <w:t xml:space="preserve"> </w:t>
      </w:r>
      <w:r>
        <w:t xml:space="preserve">x</w:t>
      </w:r>
      <w:r>
        <w:rPr>
          <w:vertAlign w:val="subscript"/>
        </w:rPr>
        <w:t xml:space="preserve">c,s</w:t>
      </w:r>
      <w:r>
        <w:t xml:space="preserve"> </w:t>
      </w:r>
      <w:r>
        <w:t xml:space="preserve">g</w:t>
      </w:r>
      <w:r>
        <w:rPr>
          <w:vertAlign w:val="subscript"/>
        </w:rPr>
        <w:t xml:space="preserve">c,s</w:t>
      </w:r>
      <w:r>
        <w:t xml:space="preserve">. The first sum depends on</w:t>
      </w:r>
      <w:r>
        <w:t xml:space="preserve"> </w:t>
      </w:r>
      <w:r>
        <w:rPr>
          <w:i/>
          <w:iCs/>
        </w:rPr>
        <w:t xml:space="preserve">x</w:t>
      </w:r>
      <w:r>
        <w:t xml:space="preserve"> </w:t>
      </w:r>
      <w:r>
        <w:t xml:space="preserve">only through the campaign margins, the second only through the segment margins; both are held fixed, so they are equal for</w:t>
      </w:r>
      <w:r>
        <w:t xml:space="preserve"> </w:t>
      </w:r>
      <w:r>
        <w:rPr>
          <w:i/>
          <w:iCs/>
        </w:rPr>
        <w:t xml:space="preserve">x</w:t>
      </w:r>
      <w:r>
        <w:t xml:space="preserve"> </w:t>
      </w:r>
      <w:r>
        <w:t xml:space="preserve">and</w:t>
      </w:r>
      <w:r>
        <w:t xml:space="preserve"> </w:t>
      </w:r>
      <w:r>
        <w:rPr>
          <w:i/>
          <w:iCs/>
        </w:rPr>
        <w:t xml:space="preserve">x′</w:t>
      </w:r>
      <w:r>
        <w:t xml:space="preserve"> </w:t>
      </w:r>
      <w:r>
        <w:t xml:space="preserve">and cancel on subtraction. Only the interaction term remains. □</w:t>
      </w:r>
    </w:p>
    <w:p>
      <w:pPr>
        <w:pStyle w:val="BodyText"/>
      </w:pPr>
      <w:r>
        <w:t xml:space="preserve">The consequence is that</w:t>
      </w:r>
      <w:r>
        <w:t xml:space="preserve"> </w:t>
      </w:r>
      <w:r>
        <w:rPr>
          <w:b/>
          <w:bCs/>
        </w:rPr>
        <w:t xml:space="preserve">representation choice for allocation should target the stable interaction component, not marginal click-rate predictiveness</w:t>
      </w:r>
      <w:r>
        <w:t xml:space="preserve">: a segmentation that sharpens the estimates of</w:t>
      </w:r>
      <w:r>
        <w:t xml:space="preserve"> </w:t>
      </w:r>
      <w:r>
        <w:rPr>
          <w:i/>
          <w:iCs/>
        </w:rPr>
        <w:t xml:space="preserve">a</w:t>
      </w:r>
      <w:r>
        <w:rPr>
          <w:i/>
          <w:iCs/>
          <w:vertAlign w:val="subscript"/>
        </w:rPr>
        <w:t xml:space="preserve">c</w:t>
      </w:r>
      <w:r>
        <w:t xml:space="preserve"> </w:t>
      </w:r>
      <w:r>
        <w:t xml:space="preserve">and</w:t>
      </w:r>
      <w:r>
        <w:t xml:space="preserve"> </w:t>
      </w:r>
      <w:r>
        <w:rPr>
          <w:i/>
          <w:iCs/>
        </w:rPr>
        <w:t xml:space="preserve">b</w:t>
      </w:r>
      <w:r>
        <w:rPr>
          <w:i/>
          <w:iCs/>
          <w:vertAlign w:val="subscript"/>
        </w:rPr>
        <w:t xml:space="preserve">s</w:t>
      </w:r>
      <w:r>
        <w:t xml:space="preserve"> </w:t>
      </w:r>
      <w:r>
        <w:t xml:space="preserve">but not of</w:t>
      </w:r>
      <w:r>
        <w:t xml:space="preserve"> </w:t>
      </w:r>
      <w:r>
        <w:rPr>
          <w:i/>
          <w:iCs/>
        </w:rPr>
        <w:t xml:space="preserve">g</w:t>
      </w:r>
      <w:r>
        <w:rPr>
          <w:i/>
          <w:iCs/>
          <w:vertAlign w:val="subscript"/>
        </w:rPr>
        <w:t xml:space="preserve">cs</w:t>
      </w:r>
      <w:r>
        <w:t xml:space="preserve"> </w:t>
      </w:r>
      <w:r>
        <w:t xml:space="preserve">cannot change a fixed-margin assignment, however much it improves overall CTR prediction. Section 5 turns this into a selection rule. Four corollaries fix the scope precisely.</w:t>
      </w:r>
    </w:p>
    <w:p>
      <w:pPr>
        <w:pStyle w:val="Compact"/>
        <w:numPr>
          <w:ilvl w:val="0"/>
          <w:numId w:val="1001"/>
        </w:numPr>
      </w:pPr>
      <w:r>
        <w:rPr>
          <w:b/>
          <w:bCs/>
        </w:rPr>
        <w:t xml:space="preserve">Click maximization.</w:t>
      </w:r>
      <w:r>
        <w:t xml:space="preserve"> </w:t>
      </w:r>
      <w:r>
        <w:t xml:space="preserve">With</w:t>
      </w:r>
      <w:r>
        <w:t xml:space="preserve"> </w:t>
      </w:r>
      <w:r>
        <w:rPr>
          <w:i/>
          <w:iCs/>
        </w:rPr>
        <w:t xml:space="preserve">v</w:t>
      </w:r>
      <w:r>
        <w:rPr>
          <w:i/>
          <w:iCs/>
          <w:vertAlign w:val="subscript"/>
        </w:rPr>
        <w:t xml:space="preserve">cs</w:t>
      </w:r>
      <w:r>
        <w:rPr>
          <w:i/>
          <w:iCs/>
        </w:rPr>
        <w:t xml:space="preserve"> </w:t>
      </w:r>
      <w:r>
        <w:rPr>
          <w:i/>
          <w:iCs/>
        </w:rPr>
        <w:t xml:space="preserve">= p</w:t>
      </w:r>
      <w:r>
        <w:rPr>
          <w:i/>
          <w:iCs/>
          <w:vertAlign w:val="subscript"/>
        </w:rPr>
        <w:t xml:space="preserve">cs</w:t>
      </w:r>
      <w:r>
        <w:t xml:space="preserve">, the entire allocation value under fixed margins is carried by the interaction of click probability; campaign and segment average click rates are decision-irrelevant.</w:t>
      </w:r>
    </w:p>
    <w:p>
      <w:pPr>
        <w:pStyle w:val="Compact"/>
        <w:numPr>
          <w:ilvl w:val="0"/>
          <w:numId w:val="1001"/>
        </w:numPr>
      </w:pPr>
      <w:r>
        <w:rPr>
          <w:b/>
          <w:bCs/>
        </w:rPr>
        <w:t xml:space="preserve">Fixed per-impression contract value.</w:t>
      </w:r>
      <w:r>
        <w:t xml:space="preserve"> </w:t>
      </w:r>
      <w:r>
        <w:t xml:space="preserve">When campaign</w:t>
      </w:r>
      <w:r>
        <w:t xml:space="preserve"> </w:t>
      </w:r>
      <w:r>
        <w:rPr>
          <w:i/>
          <w:iCs/>
        </w:rPr>
        <w:t xml:space="preserve">c</w:t>
      </w:r>
      <w:r>
        <w:t xml:space="preserve"> </w:t>
      </w:r>
      <w:r>
        <w:t xml:space="preserve">pays a fixed</w:t>
      </w:r>
      <w:r>
        <w:t xml:space="preserve"> </w:t>
      </w:r>
      <w:r>
        <w:rPr>
          <w:i/>
          <w:iCs/>
        </w:rPr>
        <w:t xml:space="preserve">r</w:t>
      </w:r>
      <w:r>
        <w:rPr>
          <w:i/>
          <w:iCs/>
          <w:vertAlign w:val="subscript"/>
        </w:rPr>
        <w:t xml:space="preserve">c</w:t>
      </w:r>
      <w:r>
        <w:t xml:space="preserve"> </w:t>
      </w:r>
      <w:r>
        <w:t xml:space="preserve">per delivered impression, that revenue contributes Σ</w:t>
      </w:r>
      <w:r>
        <w:rPr>
          <w:vertAlign w:val="subscript"/>
        </w:rPr>
        <w:t xml:space="preserve">c</w:t>
      </w:r>
      <w:r>
        <w:t xml:space="preserve"> </w:t>
      </w:r>
      <w:r>
        <w:t xml:space="preserve">r</w:t>
      </w:r>
      <w:r>
        <w:rPr>
          <w:vertAlign w:val="subscript"/>
        </w:rPr>
        <w:t xml:space="preserve">c</w:t>
      </w:r>
      <w:r>
        <w:t xml:space="preserve"> </w:t>
      </w:r>
      <w:r>
        <w:t xml:space="preserve">Q</w:t>
      </w:r>
      <w:r>
        <w:rPr>
          <w:vertAlign w:val="subscript"/>
        </w:rPr>
        <w:t xml:space="preserve">c</w:t>
      </w:r>
      <w:r>
        <w:t xml:space="preserve">, a constant under fixed campaign margins, and the allocation reduces to the expected-clicks problem, as noted above.</w:t>
      </w:r>
    </w:p>
    <w:p>
      <w:pPr>
        <w:pStyle w:val="Compact"/>
        <w:numPr>
          <w:ilvl w:val="0"/>
          <w:numId w:val="1001"/>
        </w:numPr>
      </w:pPr>
      <w:r>
        <w:rPr>
          <w:b/>
          <w:bCs/>
        </w:rPr>
        <w:t xml:space="preserve">Slack margins.</w:t>
      </w:r>
      <w:r>
        <w:t xml:space="preserve"> </w:t>
      </w:r>
      <w:r>
        <w:t xml:space="preserve">Segment margins are fixed by the arriving stream (supply is exogenous and identical across policies), so the segment main effect always cancels. If campaign quotas do not all bind, campaign totals differ between allocations and the campaign main effect re-enters, bounded by |V(x)−V(x′) − interaction term| ≤ ‖a‖</w:t>
      </w:r>
      <w:r>
        <w:rPr>
          <w:vertAlign w:val="subscript"/>
        </w:rPr>
        <w:t xml:space="preserve">∞</w:t>
      </w:r>
      <w:r>
        <w:t xml:space="preserve"> </w:t>
      </w:r>
      <w:r>
        <w:t xml:space="preserve">· ‖ΔQ‖</w:t>
      </w:r>
      <w:r>
        <w:rPr>
          <w:vertAlign w:val="subscript"/>
        </w:rPr>
        <w:t xml:space="preserve">1</w:t>
      </w:r>
      <w:r>
        <w:t xml:space="preserve">, where ΔQ is the difference in delivered campaign totals. Interaction invariance is therefore exact under full delivery and degrades gracefully with the delivery gap.</w:t>
      </w:r>
    </w:p>
    <w:p>
      <w:pPr>
        <w:pStyle w:val="Compact"/>
        <w:numPr>
          <w:ilvl w:val="0"/>
          <w:numId w:val="1001"/>
        </w:numPr>
      </w:pPr>
      <w:r>
        <w:rPr>
          <w:b/>
          <w:bCs/>
        </w:rPr>
        <w:t xml:space="preserve">Over-subscription (Regime B).</w:t>
      </w:r>
      <w:r>
        <w:t xml:space="preserve"> </w:t>
      </w:r>
      <w:r>
        <w:t xml:space="preserve">When quotas exceed deliverable supply, campaign totals become endogenous, the bound above is loose, and a policy must decide which campaigns to under-deliver; the full objective (including</w:t>
      </w:r>
      <w:r>
        <w:t xml:space="preserve"> </w:t>
      </w:r>
      <w:r>
        <w:rPr>
          <w:i/>
          <w:iCs/>
        </w:rPr>
        <w:t xml:space="preserve">r</w:t>
      </w:r>
      <w:r>
        <w:rPr>
          <w:i/>
          <w:iCs/>
          <w:vertAlign w:val="subscript"/>
        </w:rPr>
        <w:t xml:space="preserve">c</w:t>
      </w:r>
      <w:r>
        <w:t xml:space="preserve"> </w:t>
      </w:r>
      <w:r>
        <w:t xml:space="preserve">and any under-delivery penalty) governs, and interaction invariance no longer applies. This is exactly the regime the contention experiments of Section 6 probe, and it is why policy orderings there differ from the feasible case.</w:t>
      </w:r>
    </w:p>
    <w:bookmarkEnd w:id="27"/>
    <w:bookmarkEnd w:id="28"/>
    <w:bookmarkStart w:id="30" w:name="replay-evaluation-protocol"/>
    <w:p>
      <w:pPr>
        <w:pStyle w:val="Heading2"/>
      </w:pPr>
      <w:r>
        <w:t xml:space="preserve">4</w:t>
      </w:r>
      <w:r>
        <w:t xml:space="preserve">Replay evaluation protocol</w:t>
      </w:r>
    </w:p>
    <w:p>
      <w:pPr>
        <w:pStyle w:val="FirstParagraph"/>
      </w:pPr>
      <w:r>
        <w:t xml:space="preserve">A synthetic market controls everything (Section 7); real logs control nothing, which is the point. The experiments of Sections 4–6 replay the public Taobao display-advertising dataset [2, 3]: 26.6 million impressions over 8 days in May 2017, roughly 1.1 million users with declared demographics, and explicit campaign identifiers, the closest public analog to an operator's data.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This is a mechanical identity, not an empirical finding: by Proposition 1, a scorer constant across segments carries no interaction, so under fixed quotas every feasible assignment scores equally, and the control confirms the harness contains no implementation path that manufactures lift from a flat table.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does not rest on extrapolated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Section 8.2 (soft-membership blending, frequency caps, threshold pacing) operate below this granularity and are not exercised by these experiments.</w:t>
      </w:r>
    </w:p>
    <w:bookmarkStart w:id="29" w:name="X888dfabe7f5ac870af14768d223c176646b6318"/>
    <w:p>
      <w:pPr>
        <w:pStyle w:val="Heading3"/>
      </w:pPr>
      <w:r>
        <w:t xml:space="preserve">4.1</w:t>
      </w:r>
      <w:r>
        <w:t xml:space="preserve">Does model-scored replay recover the truth?</w:t>
      </w:r>
    </w:p>
    <w:p>
      <w:pPr>
        <w:pStyle w:val="FirstParagraph"/>
      </w:pPr>
      <w:r>
        <w:t xml:space="preserve">Real logs cannot say whether the model-scored lifts equal the counterfactual truth, because the truth is unobserved. A semi-synthetic benchmark can. We build a world where the response is known: on a slice disjoint from all reported experiments (Taobao days 6–8) we fit a shrunk (campaign, segment) click surface, amplify its double-centered interaction by a factor κ so policies genuinely differ, and freeze the result as a ground-truth θ</w:t>
      </w:r>
      <w:r>
        <w:rPr>
          <w:vertAlign w:val="subscript"/>
        </w:rPr>
        <w:t xml:space="preserve">cs</w:t>
      </w:r>
      <w:r>
        <w:t xml:space="preserve">. The logging policy is the real exposure pattern; clicks are then sampled ∼ Bernoulli(θ) on the real exposures to fit a planning table (days 9–11) and an independent scoring table (days 12–13), so both tables carry realistic estimation noise and θ itself never scores anything the planner sees. Five policies (greedy, static plan, periodic re-solve, fixed optimal dual, entropic Dual Mirror Descent) then replay the day 12–13 stream, and each assignment is scored twice: under the noisy table, exactly as the paper reports, and under θ, which only this controlled setting makes available. At realistic interaction strength the model-scored replay recovers the decision that matters: every strong policy is correctly separated from greedy, the model-scored ranking matches the true ranking (Spearman 1.00 at κ=1.0, 0.90 at κ=1.5), the model selects the truly best policy in both cases, and the estimated greedy-relative lift sits within about 1.4 percentage points of its true value. The limit is also visible: when the interaction is amplified beyond the level seen in the real data (κ=2.0), the top policies bunch within roughly 0.3 points of one another under the true response, and the noisy table reorders those near-ties (Spearman 0.70), selecting the entropic dual over the static plan when the plan is in fact marginally better. Model-scored replay is therefore trustworthy for the claims this paper makes, which separate a strong tier from greedy and identify a robust re-solve or plan policy, and it should not be read as resolving fine differences among near-tied top policies. The recovery does not depend on a benign logging policy. Repeating the benchmark with a deliberately adversarial logger, one that selects on the outcome itself so high-response cells are over-observed and low-response cells starve, the worst case for a scorer fit on logged data, still identifies the true best policy at both signal strengths (rank correlation 0.90 and 1.00), at the cost of a small upward bias, under 1.2 percentage points, from the optimistic tables that outcome-selected logging produces. The benchmark and its adversarial variant are released with the replication package.</w:t>
      </w:r>
    </w:p>
    <w:bookmarkEnd w:id="29"/>
    <w:bookmarkEnd w:id="30"/>
    <w:bookmarkStart w:id="31" w:name="the-persistence-rule"/>
    <w:p>
      <w:pPr>
        <w:pStyle w:val="Heading2"/>
      </w:pPr>
      <w:r>
        <w:t xml:space="preserve">5</w:t>
      </w:r>
      <w:r>
        <w:t xml:space="preserve">The persistence rule</w:t>
      </w:r>
    </w:p>
    <w:p>
      <w:pPr>
        <w:pStyle w:val="FirstParagraph"/>
      </w:pPr>
      <w:r>
        <w:t xml:space="preserve">Proposition 1 identifies the campaign-by-segment</w:t>
      </w:r>
      <w:r>
        <w:t xml:space="preserve"> </w:t>
      </w:r>
      <w:r>
        <w:rPr>
          <w:i/>
          <w:iCs/>
        </w:rPr>
        <w:t xml:space="preserve">interaction</w:t>
      </w:r>
      <w:r>
        <w:t xml:space="preserve"> </w:t>
      </w:r>
      <w:r>
        <w:t xml:space="preserve">as the only exploitable object under fixed margins. Applying it across windows adds a requirement the proposition does not: the interaction is estimated on the planning window and used on the serving window, so it must also</w:t>
      </w:r>
      <w:r>
        <w:t xml:space="preserve"> </w:t>
      </w:r>
      <w:r>
        <w:rPr>
          <w:i/>
          <w:iCs/>
        </w:rPr>
        <w:t xml:space="preserve">persist</w:t>
      </w:r>
      <w:r>
        <w:t xml:space="preserve"> </w:t>
      </w:r>
      <w:r>
        <w:t xml:space="preserve">between them. Campaign main effects persist strongly (week-over-week correlation 0.81) but Proposition 1 neutralizes them under fixed quotas;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Segmentation axis</w:t>
            </w:r>
          </w:p>
        </w:tc>
        <w:tc>
          <w:tcPr/>
          <w:p>
            <w:pPr>
              <w:pStyle w:val="Compact"/>
              <w:jc w:val="left"/>
            </w:pPr>
            <w:r>
              <w:t xml:space="preserve">Interaction persistence (r)</w:t>
            </w:r>
          </w:p>
        </w:tc>
        <w:tc>
          <w:tcPr/>
          <w:p>
            <w:pPr>
              <w:pStyle w:val="Compact"/>
              <w:jc w:val="left"/>
            </w:pPr>
            <w:r>
              <w:t xml:space="preserve">Interaction size beyond noise</w:t>
            </w:r>
          </w:p>
        </w:tc>
      </w:tr>
      <w:tr>
        <w:tc>
          <w:tcPr/>
          <w:p>
            <w:pPr>
              <w:pStyle w:val="Compact"/>
              <w:jc w:val="left"/>
            </w:pPr>
            <w:r>
              <w:t xml:space="preserve">Activity tier (usage volume)</w:t>
            </w:r>
          </w:p>
        </w:tc>
        <w:tc>
          <w:tcPr/>
          <w:p>
            <w:pPr>
              <w:pStyle w:val="Compact"/>
              <w:jc w:val="left"/>
            </w:pPr>
            <w:r>
              <w:t xml:space="preserve">0.48–0.54</w:t>
            </w:r>
          </w:p>
        </w:tc>
        <w:tc>
          <w:tcPr/>
          <w:p>
            <w:pPr>
              <w:pStyle w:val="Compact"/>
              <w:jc w:val="left"/>
            </w:pPr>
            <w:r>
              <w:t xml:space="preserve">~1pp on a 5.5pp base</w:t>
            </w:r>
          </w:p>
        </w:tc>
      </w:tr>
      <w:tr>
        <w:tc>
          <w:tcPr/>
          <w:p>
            <w:pPr>
              <w:pStyle w:val="Compact"/>
              <w:jc w:val="left"/>
            </w:pPr>
            <w:r>
              <w:t xml:space="preserve">Gender × age</w:t>
            </w:r>
          </w:p>
        </w:tc>
        <w:tc>
          <w:tcPr/>
          <w:p>
            <w:pPr>
              <w:pStyle w:val="Compact"/>
              <w:jc w:val="left"/>
            </w:pPr>
            <w:r>
              <w:t xml:space="preserve">0.28</w:t>
            </w:r>
          </w:p>
        </w:tc>
        <w:tc>
          <w:tcPr/>
          <w:p>
            <w:pPr>
              <w:pStyle w:val="Compact"/>
              <w:jc w:val="left"/>
            </w:pPr>
            <w:r>
              <w:t xml:space="preserve">~0.5pp</w:t>
            </w:r>
          </w:p>
        </w:tc>
      </w:tr>
      <w:tr>
        <w:tc>
          <w:tcPr/>
          <w:p>
            <w:pPr>
              <w:pStyle w:val="Compact"/>
              <w:jc w:val="left"/>
            </w:pPr>
            <w:r>
              <w:t xml:space="preserve">Hour × position slot</w:t>
            </w:r>
          </w:p>
        </w:tc>
        <w:tc>
          <w:tcPr/>
          <w:p>
            <w:pPr>
              <w:pStyle w:val="Compact"/>
              <w:jc w:val="left"/>
            </w:pPr>
            <w:r>
              <w:t xml:space="preserve">0.08</w:t>
            </w:r>
          </w:p>
        </w:tc>
        <w:tc>
          <w:tcPr/>
          <w:p>
            <w:pPr>
              <w:pStyle w:val="Compact"/>
              <w:jc w:val="left"/>
            </w:pPr>
            <w:r>
              <w:t xml:space="preserve">~0</w:t>
            </w:r>
          </w:p>
        </w:tc>
      </w:tr>
    </w:tbl>
    <w:p>
      <w:pPr>
        <w:pStyle w:val="BodyText"/>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Segments</w:t>
            </w:r>
          </w:p>
        </w:tc>
        <w:tc>
          <w:tcPr/>
          <w:p>
            <w:pPr>
              <w:pStyle w:val="Compact"/>
              <w:jc w:val="left"/>
            </w:pPr>
            <w:r>
              <w:t xml:space="preserve">Count</w:t>
            </w:r>
          </w:p>
        </w:tc>
        <w:tc>
          <w:tcPr/>
          <w:p>
            <w:pPr>
              <w:pStyle w:val="Compact"/>
              <w:jc w:val="left"/>
            </w:pPr>
            <w:r>
              <w:t xml:space="preserve">Planned vs greedy</w:t>
            </w:r>
          </w:p>
        </w:tc>
        <w:tc>
          <w:tcPr/>
          <w:p>
            <w:pPr>
              <w:pStyle w:val="Compact"/>
              <w:jc w:val="left"/>
            </w:pPr>
            <w:r>
              <w:t xml:space="preserve">z</w:t>
            </w:r>
          </w:p>
        </w:tc>
        <w:tc>
          <w:tcPr/>
          <w:p>
            <w:pPr>
              <w:pStyle w:val="Compact"/>
              <w:jc w:val="left"/>
            </w:pPr>
            <w:r>
              <w:t xml:space="preserve">Planned vs adaptive pacing</w:t>
            </w:r>
          </w:p>
        </w:tc>
        <w:tc>
          <w:tcPr/>
          <w:p>
            <w:pPr>
              <w:pStyle w:val="Compact"/>
              <w:jc w:val="left"/>
            </w:pPr>
            <w:r>
              <w:t xml:space="preserve">z</w:t>
            </w:r>
          </w:p>
        </w:tc>
      </w:tr>
      <w:tr>
        <w:tc>
          <w:tcPr/>
          <w:p>
            <w:pPr>
              <w:pStyle w:val="Compact"/>
              <w:jc w:val="left"/>
            </w:pPr>
            <w:r>
              <w:rPr>
                <w:b/>
                <w:bCs/>
              </w:rPr>
              <w:t xml:space="preserve">Activity, 8 tiers (pre-committed)</w:t>
            </w:r>
          </w:p>
        </w:tc>
        <w:tc>
          <w:tcPr/>
          <w:p>
            <w:pPr>
              <w:pStyle w:val="Compact"/>
              <w:jc w:val="left"/>
            </w:pPr>
            <w:r>
              <w:t xml:space="preserve">8</w:t>
            </w:r>
          </w:p>
        </w:tc>
        <w:tc>
          <w:tcPr/>
          <w:p>
            <w:pPr>
              <w:pStyle w:val="Compact"/>
              <w:jc w:val="left"/>
            </w:pPr>
            <w:r>
              <w:rPr>
                <w:b/>
                <w:bCs/>
              </w:rPr>
              <w:t xml:space="preserve">+3.46% ± 0.69pp</w:t>
            </w:r>
          </w:p>
        </w:tc>
        <w:tc>
          <w:tcPr/>
          <w:p>
            <w:pPr>
              <w:pStyle w:val="Compact"/>
              <w:jc w:val="left"/>
            </w:pPr>
            <w:r>
              <w:t xml:space="preserve">+5.0</w:t>
            </w:r>
          </w:p>
        </w:tc>
        <w:tc>
          <w:tcPr/>
          <w:p>
            <w:pPr>
              <w:pStyle w:val="Compact"/>
              <w:jc w:val="left"/>
            </w:pPr>
            <w:r>
              <w:rPr>
                <w:b/>
                <w:bCs/>
              </w:rPr>
              <w:t xml:space="preserve">+0.92% ± 0.47pp</w:t>
            </w:r>
          </w:p>
        </w:tc>
        <w:tc>
          <w:tcPr/>
          <w:p>
            <w:pPr>
              <w:pStyle w:val="Compact"/>
              <w:jc w:val="left"/>
            </w:pPr>
            <w:r>
              <w:t xml:space="preserve">+2.0</w:t>
            </w:r>
          </w:p>
        </w:tc>
      </w:tr>
      <w:tr>
        <w:tc>
          <w:tcPr/>
          <w:p>
            <w:pPr>
              <w:pStyle w:val="Compact"/>
              <w:jc w:val="left"/>
            </w:pPr>
            <w:r>
              <w:t xml:space="preserve">Activity, 4 tiers</w:t>
            </w:r>
          </w:p>
        </w:tc>
        <w:tc>
          <w:tcPr/>
          <w:p>
            <w:pPr>
              <w:pStyle w:val="Compact"/>
              <w:jc w:val="left"/>
            </w:pPr>
            <w:r>
              <w:t xml:space="preserve">4</w:t>
            </w:r>
          </w:p>
        </w:tc>
        <w:tc>
          <w:tcPr/>
          <w:p>
            <w:pPr>
              <w:pStyle w:val="Compact"/>
              <w:jc w:val="left"/>
            </w:pPr>
            <w:r>
              <w:t xml:space="preserve">+2.51% ± 0.50pp</w:t>
            </w:r>
          </w:p>
        </w:tc>
        <w:tc>
          <w:tcPr/>
          <w:p>
            <w:pPr>
              <w:pStyle w:val="Compact"/>
              <w:jc w:val="left"/>
            </w:pPr>
            <w:r>
              <w:t xml:space="preserve">+5.0</w:t>
            </w:r>
          </w:p>
        </w:tc>
        <w:tc>
          <w:tcPr/>
          <w:p>
            <w:pPr>
              <w:pStyle w:val="Compact"/>
              <w:jc w:val="left"/>
            </w:pPr>
            <w:r>
              <w:t xml:space="preserve">+1.15% ± 0.31pp</w:t>
            </w:r>
          </w:p>
        </w:tc>
        <w:tc>
          <w:tcPr/>
          <w:p>
            <w:pPr>
              <w:pStyle w:val="Compact"/>
              <w:jc w:val="left"/>
            </w:pPr>
            <w:r>
              <w:t xml:space="preserve">+3.7</w:t>
            </w:r>
          </w:p>
        </w:tc>
      </w:tr>
      <w:tr>
        <w:tc>
          <w:tcPr/>
          <w:p>
            <w:pPr>
              <w:pStyle w:val="Compact"/>
              <w:jc w:val="left"/>
            </w:pPr>
            <w:r>
              <w:t xml:space="preserve">Tier × demographics</w:t>
            </w:r>
          </w:p>
        </w:tc>
        <w:tc>
          <w:tcPr/>
          <w:p>
            <w:pPr>
              <w:pStyle w:val="Compact"/>
              <w:jc w:val="left"/>
            </w:pPr>
            <w:r>
              <w:t xml:space="preserve">168</w:t>
            </w:r>
          </w:p>
        </w:tc>
        <w:tc>
          <w:tcPr/>
          <w:p>
            <w:pPr>
              <w:pStyle w:val="Compact"/>
              <w:jc w:val="left"/>
            </w:pPr>
            <w:r>
              <w:t xml:space="preserve">+1.93% ± 0.91pp</w:t>
            </w:r>
          </w:p>
        </w:tc>
        <w:tc>
          <w:tcPr/>
          <w:p>
            <w:pPr>
              <w:pStyle w:val="Compact"/>
              <w:jc w:val="left"/>
            </w:pPr>
            <w:r>
              <w:t xml:space="preserve">+2.1</w:t>
            </w:r>
          </w:p>
        </w:tc>
        <w:tc>
          <w:tcPr/>
          <w:p>
            <w:pPr>
              <w:pStyle w:val="Compact"/>
              <w:jc w:val="left"/>
            </w:pPr>
            <w:r>
              <w:t xml:space="preserve">+0.40%</w:t>
            </w:r>
          </w:p>
        </w:tc>
        <w:tc>
          <w:tcPr/>
          <w:p>
            <w:pPr>
              <w:pStyle w:val="Compact"/>
              <w:jc w:val="left"/>
            </w:pPr>
            <w:r>
              <w:t xml:space="preserve">+0.6</w:t>
            </w:r>
          </w:p>
        </w:tc>
      </w:tr>
      <w:tr>
        <w:tc>
          <w:tcPr/>
          <w:p>
            <w:pPr>
              <w:pStyle w:val="Compact"/>
              <w:jc w:val="left"/>
            </w:pPr>
            <w:r>
              <w:t xml:space="preserve">Demographics only</w:t>
            </w:r>
          </w:p>
        </w:tc>
        <w:tc>
          <w:tcPr/>
          <w:p>
            <w:pPr>
              <w:pStyle w:val="Compact"/>
              <w:jc w:val="left"/>
            </w:pPr>
            <w:r>
              <w:t xml:space="preserve">48</w:t>
            </w:r>
          </w:p>
        </w:tc>
        <w:tc>
          <w:tcPr/>
          <w:p>
            <w:pPr>
              <w:pStyle w:val="Compact"/>
              <w:jc w:val="left"/>
            </w:pPr>
            <w:r>
              <w:t xml:space="preserve">−0.20% ± 0.61pp</w:t>
            </w:r>
          </w:p>
        </w:tc>
        <w:tc>
          <w:tcPr/>
          <w:p>
            <w:pPr>
              <w:pStyle w:val="Compact"/>
              <w:jc w:val="left"/>
            </w:pPr>
            <w:r>
              <w:t xml:space="preserve">−0.3</w:t>
            </w:r>
          </w:p>
        </w:tc>
        <w:tc>
          <w:tcPr/>
          <w:p>
            <w:pPr>
              <w:pStyle w:val="Compact"/>
              <w:jc w:val="left"/>
            </w:pPr>
            <w:r>
              <w:t xml:space="preserve">+0.46%</w:t>
            </w:r>
          </w:p>
        </w:tc>
        <w:tc>
          <w:tcPr/>
          <w:p>
            <w:pPr>
              <w:pStyle w:val="Compact"/>
              <w:jc w:val="left"/>
            </w:pPr>
            <w:r>
              <w:t xml:space="preserve">+1.1</w:t>
            </w:r>
          </w:p>
        </w:tc>
      </w:tr>
    </w:tbl>
    <w:p>
      <w:pPr>
        <w:pStyle w:val="BodyText"/>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11 states. With that rule applied, the replayed policies capture 85–91% of the hindsight bound; the residual is the estimation noise and week-over-week drift that the pacing loop of Section 8.2 exists to absorb.</w:t>
      </w:r>
    </w:p>
    <w:p>
      <w:pPr>
        <w:pStyle w:val="BodyText"/>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p>
      <w:pPr>
        <w:pStyle w:val="BodyText"/>
      </w:pPr>
      <w:r>
        <w:t xml:space="preserve">These two components combine into a single selection procedure that runs on planning-window data alone and returns a segmentation, or abstains, before any serving outcome is seen.</w:t>
      </w:r>
    </w:p>
    <w:p>
      <w:pPr>
        <w:pStyle w:val="BodyText"/>
      </w:pPr>
      <w:r>
        <w:rPr>
          <w:b/>
          <w:bCs/>
        </w:rPr>
        <w:t xml:space="preserve">Algorithm 1 (persistence-guided segmentation selection).</w:t>
      </w:r>
      <w:r>
        <w:t xml:space="preserve"> </w:t>
      </w:r>
      <w:r>
        <w:t xml:space="preserve">Inputs: candidate axes</w:t>
      </w:r>
      <w:r>
        <w:t xml:space="preserve"> </w:t>
      </w:r>
      <w:r>
        <w:rPr>
          <w:i/>
          <w:iCs/>
        </w:rPr>
        <w:t xml:space="preserve">A</w:t>
      </w:r>
      <w:r>
        <w:t xml:space="preserve"> </w:t>
      </w:r>
      <w:r>
        <w:t xml:space="preserve">with nested resolutions</w:t>
      </w:r>
      <w:r>
        <w:t xml:space="preserve"> </w:t>
      </w:r>
      <w:r>
        <w:rPr>
          <w:i/>
          <w:iCs/>
        </w:rPr>
        <w:t xml:space="preserve">d</w:t>
      </w:r>
      <w:r>
        <w:t xml:space="preserve">, two adjacent planning windows, a support tolerance</w:t>
      </w:r>
      <w:r>
        <w:t xml:space="preserve"> </w:t>
      </w:r>
      <w:r>
        <w:rPr>
          <w:i/>
          <w:iCs/>
        </w:rPr>
        <w:t xml:space="preserve">τ</w:t>
      </w:r>
      <w:r>
        <w:t xml:space="preserve">, and a persistence floor</w:t>
      </w:r>
      <w:r>
        <w:t xml:space="preserve"> </w:t>
      </w:r>
      <w:r>
        <w:rPr>
          <w:i/>
          <w:iCs/>
        </w:rPr>
        <w:t xml:space="preserve">ρ</w:t>
      </w:r>
      <w:r>
        <w:rPr>
          <w:i/>
          <w:iCs/>
          <w:vertAlign w:val="subscript"/>
        </w:rPr>
        <w:t xml:space="preserve">0</w:t>
      </w:r>
      <w:r>
        <w:t xml:space="preserve"> </w:t>
      </w:r>
      <w:r>
        <w:t xml:space="preserve">set to the estimation-noise null.</w:t>
      </w:r>
    </w:p>
    <w:p>
      <w:pPr>
        <w:pStyle w:val="BodyText"/>
      </w:pPr>
      <w:r>
        <w:t xml:space="preserve">1. For each (</w:t>
      </w:r>
      <w:r>
        <w:rPr>
          <w:i/>
          <w:iCs/>
        </w:rPr>
        <w:t xml:space="preserve">A</w:t>
      </w:r>
      <w:r>
        <w:t xml:space="preserve">, </w:t>
      </w:r>
      <w:r>
        <w:rPr>
          <w:i/>
          <w:iCs/>
        </w:rPr>
        <w:t xml:space="preserve">d</w:t>
      </w:r>
      <w:r>
        <w:t xml:space="preserve">), form double-centered interaction residuals in each window over cells meeting the minimum-count thresholds; estimate persistence</w:t>
      </w:r>
      <w:r>
        <w:t xml:space="preserve"> </w:t>
      </w:r>
      <w:r>
        <w:rPr>
          <w:i/>
          <w:iCs/>
        </w:rPr>
        <w:t xml:space="preserve">ρ</w:t>
      </w:r>
      <w:r>
        <w:rPr>
          <w:i/>
          <w:iCs/>
          <w:vertAlign w:val="subscript"/>
        </w:rPr>
        <w:t xml:space="preserve">A,d</w:t>
      </w:r>
      <w:r>
        <w:t xml:space="preserve"> </w:t>
      </w:r>
      <w:r>
        <w:t xml:space="preserve">as their correlation, with a bootstrap lower confidence bound.</w:t>
      </w:r>
      <w:r>
        <w:br/>
      </w:r>
      <w:r>
        <w:t xml:space="preserve">2. Solve the planning-window LP once to get the planned allocation mass, and compute, per (</w:t>
      </w:r>
      <w:r>
        <w:rPr>
          <w:i/>
          <w:iCs/>
        </w:rPr>
        <w:t xml:space="preserve">A</w:t>
      </w:r>
      <w:r>
        <w:t xml:space="preserve">, </w:t>
      </w:r>
      <w:r>
        <w:rPr>
          <w:i/>
          <w:iCs/>
        </w:rPr>
        <w:t xml:space="preserve">d</w:t>
      </w:r>
      <w:r>
        <w:t xml:space="preserve">), the fraction of that mass landing in cells whose serving-window support would meet the minimum count.</w:t>
      </w:r>
      <w:r>
        <w:br/>
      </w:r>
      <w:r>
        <w:t xml:space="preserve">3. Call (</w:t>
      </w:r>
      <w:r>
        <w:rPr>
          <w:i/>
          <w:iCs/>
        </w:rPr>
        <w:t xml:space="preserve">A</w:t>
      </w:r>
      <w:r>
        <w:t xml:space="preserve">, </w:t>
      </w:r>
      <w:r>
        <w:rPr>
          <w:i/>
          <w:iCs/>
        </w:rPr>
        <w:t xml:space="preserve">d</w:t>
      </w:r>
      <w:r>
        <w:t xml:space="preserve">)</w:t>
      </w:r>
      <w:r>
        <w:t xml:space="preserve"> </w:t>
      </w:r>
      <w:r>
        <w:rPr>
          <w:b/>
          <w:bCs/>
        </w:rPr>
        <w:t xml:space="preserve">admissible</w:t>
      </w:r>
      <w:r>
        <w:t xml:space="preserve"> </w:t>
      </w:r>
      <w:r>
        <w:t xml:space="preserve">if at least (1 − </w:t>
      </w:r>
      <w:r>
        <w:rPr>
          <w:i/>
          <w:iCs/>
        </w:rPr>
        <w:t xml:space="preserve">τ</w:t>
      </w:r>
      <w:r>
        <w:t xml:space="preserve">) of the planned mass is supported and the persistence lower bound exceeds</w:t>
      </w:r>
      <w:r>
        <w:t xml:space="preserve"> </w:t>
      </w:r>
      <w:r>
        <w:rPr>
          <w:i/>
          <w:iCs/>
        </w:rPr>
        <w:t xml:space="preserve">ρ</w:t>
      </w:r>
      <w:r>
        <w:rPr>
          <w:i/>
          <w:iCs/>
          <w:vertAlign w:val="subscript"/>
        </w:rPr>
        <w:t xml:space="preserve">0</w:t>
      </w:r>
      <w:r>
        <w:t xml:space="preserve">.</w:t>
      </w:r>
      <w:r>
        <w:br/>
      </w:r>
      <w:r>
        <w:t xml:space="preserve">4. Among admissible axes pick the one with the strongest persistence; within it pick the finest depth whose cells retain enough data to resolve the interaction,</w:t>
      </w:r>
    </w:p>
    <w:p>
      <w:pPr>
        <w:pStyle w:val="SourceCode"/>
      </w:pPr>
      <w:r>
        <w:rPr>
          <w:rStyle w:val="VerbatimChar"/>
        </w:rPr>
        <w:t xml:space="preserve">d* = max { d : median(c,s): xplancs&gt;0 Ntraincs  ≥  nmin },   nmin ≈ p̄(1−p̄) / σγ2,</w:t>
      </w:r>
    </w:p>
    <w:p>
      <w:pPr>
        <w:pStyle w:val="FirstParagraph"/>
      </w:pPr>
      <w:r>
        <w:t xml:space="preserve">where</w:t>
      </w:r>
      <w:r>
        <w:t xml:space="preserve"> </w:t>
      </w:r>
      <w:r>
        <w:rPr>
          <w:i/>
          <w:iCs/>
        </w:rPr>
        <w:t xml:space="preserve">N</w:t>
      </w:r>
      <w:r>
        <w:rPr>
          <w:i/>
          <w:iCs/>
          <w:vertAlign w:val="superscript"/>
        </w:rPr>
        <w:t xml:space="preserve">train</w:t>
      </w:r>
      <w:r>
        <w:t xml:space="preserve"> </w:t>
      </w:r>
      <w:r>
        <w:t xml:space="preserve">is the planning-window count of a cell,</w:t>
      </w:r>
      <w:r>
        <w:t xml:space="preserve"> </w:t>
      </w:r>
      <w:r>
        <w:rPr>
          <w:i/>
          <w:iCs/>
        </w:rPr>
        <w:t xml:space="preserve">p̄</w:t>
      </w:r>
      <w:r>
        <w:t xml:space="preserve"> </w:t>
      </w:r>
      <w:r>
        <w:t xml:space="preserve">the base click rate, and</w:t>
      </w:r>
      <w:r>
        <w:t xml:space="preserve"> </w:t>
      </w:r>
      <w:r>
        <w:rPr>
          <w:i/>
          <w:iCs/>
        </w:rPr>
        <w:t xml:space="preserve">σ</w:t>
      </w:r>
      <w:r>
        <w:rPr>
          <w:i/>
          <w:iCs/>
          <w:vertAlign w:val="subscript"/>
        </w:rPr>
        <w:t xml:space="preserve">γ</w:t>
      </w:r>
      <w:r>
        <w:t xml:space="preserve"> </w:t>
      </w:r>
      <w:r>
        <w:t xml:space="preserve">the interaction standard deviation;</w:t>
      </w:r>
      <w:r>
        <w:t xml:space="preserve"> </w:t>
      </w:r>
      <w:r>
        <w:rPr>
          <w:i/>
          <w:iCs/>
        </w:rPr>
        <w:t xml:space="preserve">n</w:t>
      </w:r>
      <w:r>
        <w:rPr>
          <w:i/>
          <w:iCs/>
          <w:vertAlign w:val="subscript"/>
        </w:rPr>
        <w:t xml:space="preserve">min</w:t>
      </w:r>
      <w:r>
        <w:t xml:space="preserve"> </w:t>
      </w:r>
      <w:r>
        <w:t xml:space="preserve">is the count at which a per-cell estimate resolves the interaction, both quantities measured on planning data. 5. If no axis is admissible,</w:t>
      </w:r>
      <w:r>
        <w:t xml:space="preserve"> </w:t>
      </w:r>
      <w:r>
        <w:rPr>
          <w:b/>
          <w:bCs/>
        </w:rPr>
        <w:t xml:space="preserve">abstain</w:t>
      </w:r>
      <w:r>
        <w:t xml:space="preserve"> </w:t>
      </w:r>
      <w:r>
        <w:t xml:space="preserve">(serve the unsegmented market). Freeze the choice before the serving window.</w:t>
      </w:r>
    </w:p>
    <w:p>
      <w:pPr>
        <w:pStyle w:val="BodyText"/>
      </w:pPr>
      <w:r>
        <w:t xml:space="preserve">6. Independently of the axis choice, measure</w:t>
      </w:r>
      <w:r>
        <w:t xml:space="preserve"> </w:t>
      </w:r>
      <w:r>
        <w:rPr>
          <w:b/>
          <w:bCs/>
        </w:rPr>
        <w:t xml:space="preserve">contention</w:t>
      </w:r>
      <w:r>
        <w:t xml:space="preserve"> </w:t>
      </w:r>
      <w:r>
        <w:t xml:space="preserve">on the planning window: for each segment compare the quota booked against it to its forecast supply, κ</w:t>
      </w:r>
      <w:r>
        <w:rPr>
          <w:vertAlign w:val="subscript"/>
        </w:rPr>
        <w:t xml:space="preserve">s</w:t>
      </w:r>
      <w:r>
        <w:t xml:space="preserve"> = (∑</w:t>
      </w:r>
      <w:r>
        <w:rPr>
          <w:vertAlign w:val="subscript"/>
        </w:rPr>
        <w:t xml:space="preserve">c</w:t>
      </w:r>
      <w:r>
        <w:t xml:space="preserve"> </w:t>
      </w:r>
      <w:r>
        <w:t xml:space="preserve">planned demand on</w:t>
      </w:r>
      <w:r>
        <w:t xml:space="preserve"> </w:t>
      </w:r>
      <w:r>
        <w:rPr>
          <w:i/>
          <w:iCs/>
        </w:rPr>
        <w:t xml:space="preserve">s</w:t>
      </w:r>
      <w:r>
        <w:t xml:space="preserve">) / S</w:t>
      </w:r>
      <w:r>
        <w:rPr>
          <w:vertAlign w:val="subscript"/>
        </w:rPr>
        <w:t xml:space="preserve">s</w:t>
      </w:r>
      <w:r>
        <w:t xml:space="preserve">. Where supply dwarfs demand (κ</w:t>
      </w:r>
      <w:r>
        <w:rPr>
          <w:vertAlign w:val="subscript"/>
        </w:rPr>
        <w:t xml:space="preserve">s</w:t>
      </w:r>
      <w:r>
        <w:t xml:space="preserve"> ≪ 1 on the segments that carry the interaction) the achievable allocation gain is bounded and small whatever the segmentation, because greedy already leaves little on the table; the persistence probe then identifies the right axis but the market does not reward acting on it. This is a pre-deployment quantity, computed before any serving, and it is what separates the two markets in Section 6: contended Taobao rewards the segmentation, uncontended Outbrain does not until the demand regime is stressed.</w:t>
      </w:r>
    </w:p>
    <w:p>
      <w:pPr>
        <w:pStyle w:val="BodyText"/>
      </w:pPr>
      <w:r>
        <w:t xml:space="preserve">The axis step is decisive and robust: run blind it selects activity on Taobao, page platform on Outbrain, and the axis ranking Avazu’s table implies. The Outbrain choice was frozen in a public, dated commit before its replay was scored, the sense in which that application is pre-registered. The depth step ties to a measurable density. The median planning count of the cells the plan fills falls with both depth and market breadth (Taobao top-100: about 2,700, 1,400, and 670 at 4, 8, and 16 tiers; top-500: 1,100, 530, and 260), and with</w:t>
      </w:r>
      <w:r>
        <w:t xml:space="preserve"> </w:t>
      </w:r>
      <w:r>
        <w:rPr>
          <w:i/>
          <w:iCs/>
        </w:rPr>
        <w:t xml:space="preserve">σ</w:t>
      </w:r>
      <w:r>
        <w:rPr>
          <w:i/>
          <w:iCs/>
          <w:vertAlign w:val="subscript"/>
        </w:rPr>
        <w:t xml:space="preserve">γ</w:t>
      </w:r>
      <w:r>
        <w:t xml:space="preserve"> ≈ 1pp on a 5% base giving</w:t>
      </w:r>
      <w:r>
        <w:t xml:space="preserve"> </w:t>
      </w:r>
      <w:r>
        <w:rPr>
          <w:i/>
          <w:iCs/>
        </w:rPr>
        <w:t xml:space="preserve">n</w:t>
      </w:r>
      <w:r>
        <w:rPr>
          <w:i/>
          <w:iCs/>
          <w:vertAlign w:val="subscript"/>
        </w:rPr>
        <w:t xml:space="preserve">min</w:t>
      </w:r>
      <w:r>
        <w:t xml:space="preserve"> </w:t>
      </w:r>
      <w:r>
        <w:t xml:space="preserve">on the order of 10</w:t>
      </w:r>
      <w:r>
        <w:rPr>
          <w:vertAlign w:val="superscript"/>
        </w:rPr>
        <w:t xml:space="preserve">3</w:t>
      </w:r>
      <w:r>
        <w:t xml:space="preserve">, the criterion keeps eight tiers at top-100 and four at top-500, matching the ablation optima above. The threshold is an order-of-magnitude reliability target rather than a constant validated out of sample, so we report depth selection as density-guided rather than fully closed; the axis and abstain decisions are the parts of Algorithm 1 that run without any such tuning.</w:t>
      </w:r>
    </w:p>
    <w:bookmarkEnd w:id="31"/>
    <w:bookmarkStart w:id="32" w:name="the-regime-map"/>
    <w:p>
      <w:pPr>
        <w:pStyle w:val="Heading2"/>
      </w:pPr>
      <w:r>
        <w:t xml:space="preserve">6</w:t>
      </w:r>
      <w:r>
        <w:t xml:space="preserve">The regime map</w:t>
      </w:r>
    </w:p>
    <w:p>
      <w:pPr>
        <w:pStyle w:val="FirstParagraph"/>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Five policies replay each regime on the pre-committed configuration: the static plan; a periodically re-solved plan (the same LP re-solved on remaining quotas and prorated remaining supply every 20,000 impressions); a plain dual-price pacing policy; and a tuned dual-price policy (step size tuned by simulated serving on the last planning day), started either cold or warm from the plan LP’s quota shadow prices. Lift versus greedy, combined over the five walk-forward folds, with z in parentheses: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Quota scale</w:t>
            </w:r>
          </w:p>
        </w:tc>
        <w:tc>
          <w:tcPr/>
          <w:p>
            <w:pPr>
              <w:pStyle w:val="Compact"/>
              <w:jc w:val="left"/>
            </w:pPr>
            <w:r>
              <w:t xml:space="preserve">Static plan</w:t>
            </w:r>
          </w:p>
        </w:tc>
        <w:tc>
          <w:tcPr/>
          <w:p>
            <w:pPr>
              <w:pStyle w:val="Compact"/>
              <w:jc w:val="left"/>
            </w:pPr>
            <w:r>
              <w:t xml:space="preserve">Re-solved plan</w:t>
            </w:r>
          </w:p>
        </w:tc>
        <w:tc>
          <w:tcPr/>
          <w:p>
            <w:pPr>
              <w:pStyle w:val="Compact"/>
              <w:jc w:val="left"/>
            </w:pPr>
            <w:r>
              <w:t xml:space="preserve">Fixed optimal dual</w:t>
            </w:r>
          </w:p>
        </w:tc>
        <w:tc>
          <w:tcPr/>
          <w:p>
            <w:pPr>
              <w:pStyle w:val="Compact"/>
              <w:jc w:val="left"/>
            </w:pPr>
            <w:r>
              <w:t xml:space="preserve">DMD, entropic</w:t>
            </w:r>
          </w:p>
        </w:tc>
        <w:tc>
          <w:tcPr/>
          <w:p>
            <w:pPr>
              <w:pStyle w:val="Compact"/>
              <w:jc w:val="left"/>
            </w:pPr>
            <w:r>
              <w:t xml:space="preserve">DMD, Euclidean</w:t>
            </w:r>
          </w:p>
        </w:tc>
        <w:tc>
          <w:tcPr/>
          <w:p>
            <w:pPr>
              <w:pStyle w:val="Compact"/>
              <w:jc w:val="left"/>
            </w:pPr>
            <w:r>
              <w:t xml:space="preserve">Scalar pacing</w:t>
            </w:r>
          </w:p>
        </w:tc>
      </w:tr>
      <w:tr>
        <w:tc>
          <w:tcPr/>
          <w:p>
            <w:pPr>
              <w:pStyle w:val="Compact"/>
              <w:jc w:val="left"/>
            </w:pPr>
            <w:r>
              <w:t xml:space="preserve">1.0</w:t>
            </w:r>
          </w:p>
        </w:tc>
        <w:tc>
          <w:tcPr/>
          <w:p>
            <w:pPr>
              <w:pStyle w:val="Compact"/>
              <w:jc w:val="left"/>
            </w:pPr>
            <w:r>
              <w:t xml:space="preserve">+3.51% (4.7)</w:t>
            </w:r>
          </w:p>
        </w:tc>
        <w:tc>
          <w:tcPr/>
          <w:p>
            <w:pPr>
              <w:pStyle w:val="Compact"/>
              <w:jc w:val="left"/>
            </w:pPr>
            <w:r>
              <w:t xml:space="preserve">+4.27% (6.1)</w:t>
            </w:r>
          </w:p>
        </w:tc>
        <w:tc>
          <w:tcPr/>
          <w:p>
            <w:pPr>
              <w:pStyle w:val="Compact"/>
              <w:jc w:val="left"/>
            </w:pPr>
            <w:r>
              <w:t xml:space="preserve">+4.45% (6.4)</w:t>
            </w:r>
          </w:p>
        </w:tc>
        <w:tc>
          <w:tcPr/>
          <w:p>
            <w:pPr>
              <w:pStyle w:val="Compact"/>
              <w:jc w:val="left"/>
            </w:pPr>
            <w:r>
              <w:t xml:space="preserve">+4.54% (6.8)</w:t>
            </w:r>
          </w:p>
        </w:tc>
        <w:tc>
          <w:tcPr/>
          <w:p>
            <w:pPr>
              <w:pStyle w:val="Compact"/>
              <w:jc w:val="left"/>
            </w:pPr>
            <w:r>
              <w:t xml:space="preserve">+4.73% (7.1)</w:t>
            </w:r>
          </w:p>
        </w:tc>
        <w:tc>
          <w:tcPr/>
          <w:p>
            <w:pPr>
              <w:pStyle w:val="Compact"/>
              <w:jc w:val="left"/>
            </w:pPr>
            <w:r>
              <w:t xml:space="preserve">+3.86% (6.3)</w:t>
            </w:r>
          </w:p>
        </w:tc>
      </w:tr>
      <w:tr>
        <w:tc>
          <w:tcPr/>
          <w:p>
            <w:pPr>
              <w:pStyle w:val="Compact"/>
              <w:jc w:val="left"/>
            </w:pPr>
            <w:r>
              <w:t xml:space="preserve">1.1</w:t>
            </w:r>
          </w:p>
        </w:tc>
        <w:tc>
          <w:tcPr/>
          <w:p>
            <w:pPr>
              <w:pStyle w:val="Compact"/>
              <w:jc w:val="left"/>
            </w:pPr>
            <w:r>
              <w:t xml:space="preserve">+2.16% (3.1)</w:t>
            </w:r>
          </w:p>
        </w:tc>
        <w:tc>
          <w:tcPr/>
          <w:p>
            <w:pPr>
              <w:pStyle w:val="Compact"/>
              <w:jc w:val="left"/>
            </w:pPr>
            <w:r>
              <w:t xml:space="preserve">+3.49% (5.2)</w:t>
            </w:r>
          </w:p>
        </w:tc>
        <w:tc>
          <w:tcPr/>
          <w:p>
            <w:pPr>
              <w:pStyle w:val="Compact"/>
              <w:jc w:val="left"/>
            </w:pPr>
            <w:r>
              <w:t xml:space="preserve">+2.41% (3.8)</w:t>
            </w:r>
          </w:p>
        </w:tc>
        <w:tc>
          <w:tcPr/>
          <w:p>
            <w:pPr>
              <w:pStyle w:val="Compact"/>
              <w:jc w:val="left"/>
            </w:pPr>
            <w:r>
              <w:t xml:space="preserve">+3.62% (5.7)</w:t>
            </w:r>
          </w:p>
        </w:tc>
        <w:tc>
          <w:tcPr/>
          <w:p>
            <w:pPr>
              <w:pStyle w:val="Compact"/>
              <w:jc w:val="left"/>
            </w:pPr>
            <w:r>
              <w:t xml:space="preserve">+2.65% (4.3)</w:t>
            </w:r>
          </w:p>
        </w:tc>
        <w:tc>
          <w:tcPr/>
          <w:p>
            <w:pPr>
              <w:pStyle w:val="Compact"/>
              <w:jc w:val="left"/>
            </w:pPr>
            <w:r>
              <w:t xml:space="preserve">+0.73% (1.4)</w:t>
            </w:r>
          </w:p>
        </w:tc>
      </w:tr>
      <w:tr>
        <w:tc>
          <w:tcPr/>
          <w:p>
            <w:pPr>
              <w:pStyle w:val="Compact"/>
              <w:jc w:val="left"/>
            </w:pPr>
            <w:r>
              <w:t xml:space="preserve">1.25</w:t>
            </w:r>
          </w:p>
        </w:tc>
        <w:tc>
          <w:tcPr/>
          <w:p>
            <w:pPr>
              <w:pStyle w:val="Compact"/>
              <w:jc w:val="left"/>
            </w:pPr>
            <w:r>
              <w:t xml:space="preserve">+1.56% (2.2)</w:t>
            </w:r>
          </w:p>
        </w:tc>
        <w:tc>
          <w:tcPr/>
          <w:p>
            <w:pPr>
              <w:pStyle w:val="Compact"/>
              <w:jc w:val="left"/>
            </w:pPr>
            <w:r>
              <w:t xml:space="preserve">+3.39% (5.2)</w:t>
            </w:r>
          </w:p>
        </w:tc>
        <w:tc>
          <w:tcPr/>
          <w:p>
            <w:pPr>
              <w:pStyle w:val="Compact"/>
              <w:jc w:val="left"/>
            </w:pPr>
            <w:r>
              <w:t xml:space="preserve">+3.05% (4.9)</w:t>
            </w:r>
          </w:p>
        </w:tc>
        <w:tc>
          <w:tcPr/>
          <w:p>
            <w:pPr>
              <w:pStyle w:val="Compact"/>
              <w:jc w:val="left"/>
            </w:pPr>
            <w:r>
              <w:t xml:space="preserve">+3.06% (5.4)</w:t>
            </w:r>
          </w:p>
        </w:tc>
        <w:tc>
          <w:tcPr/>
          <w:p>
            <w:pPr>
              <w:pStyle w:val="Compact"/>
              <w:jc w:val="left"/>
            </w:pPr>
            <w:r>
              <w:t xml:space="preserve">−0.25% (−0.4)</w:t>
            </w:r>
          </w:p>
        </w:tc>
        <w:tc>
          <w:tcPr/>
          <w:p>
            <w:pPr>
              <w:pStyle w:val="Compact"/>
              <w:jc w:val="left"/>
            </w:pPr>
            <w:r>
              <w:t xml:space="preserve">−2.25% (−4.0)</w:t>
            </w:r>
          </w:p>
        </w:tc>
      </w:tr>
      <w:tr>
        <w:tc>
          <w:tcPr/>
          <w:p>
            <w:pPr>
              <w:pStyle w:val="Compact"/>
              <w:jc w:val="left"/>
            </w:pPr>
            <w:r>
              <w:t xml:space="preserve">1.5</w:t>
            </w:r>
          </w:p>
        </w:tc>
        <w:tc>
          <w:tcPr/>
          <w:p>
            <w:pPr>
              <w:pStyle w:val="Compact"/>
              <w:jc w:val="left"/>
            </w:pPr>
            <w:r>
              <w:t xml:space="preserve">+0.28% (0.4)</w:t>
            </w:r>
          </w:p>
        </w:tc>
        <w:tc>
          <w:tcPr/>
          <w:p>
            <w:pPr>
              <w:pStyle w:val="Compact"/>
              <w:jc w:val="left"/>
            </w:pPr>
            <w:r>
              <w:t xml:space="preserve">+2.22% (3.4)</w:t>
            </w:r>
          </w:p>
        </w:tc>
        <w:tc>
          <w:tcPr/>
          <w:p>
            <w:pPr>
              <w:pStyle w:val="Compact"/>
              <w:jc w:val="left"/>
            </w:pPr>
            <w:r>
              <w:t xml:space="preserve">+1.49% (2.4)</w:t>
            </w:r>
          </w:p>
        </w:tc>
        <w:tc>
          <w:tcPr/>
          <w:p>
            <w:pPr>
              <w:pStyle w:val="Compact"/>
              <w:jc w:val="left"/>
            </w:pPr>
            <w:r>
              <w:t xml:space="preserve">−0.52% (−0.9)</w:t>
            </w:r>
          </w:p>
        </w:tc>
        <w:tc>
          <w:tcPr/>
          <w:p>
            <w:pPr>
              <w:pStyle w:val="Compact"/>
              <w:jc w:val="left"/>
            </w:pPr>
            <w:r>
              <w:t xml:space="preserve">−4.76% (−7.2)</w:t>
            </w:r>
          </w:p>
        </w:tc>
        <w:tc>
          <w:tcPr/>
          <w:p>
            <w:pPr>
              <w:pStyle w:val="Compact"/>
              <w:jc w:val="left"/>
            </w:pPr>
            <w:r>
              <w:t xml:space="preserve">−6.88% (−11.2)</w:t>
            </w:r>
          </w:p>
        </w:tc>
      </w:tr>
    </w:tbl>
    <w:p>
      <w:pPr>
        <w:pStyle w:val="BodyText"/>
      </w:pPr>
      <w:r>
        <w:t xml:space="preserve">The dual-price baselines are given every advantage: their step size is tuned on held-out planning-window traffic, the warm variant is initialized from the plan LP’s own quota shadow prices, and, so the comparison is not rigged by an unreachable target,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Two further policies separate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no online update: a per-campaign-price policy that never adapts. Against it we run the state-of-the-art adaptive method,</w:t>
      </w:r>
      <w:r>
        <w:t xml:space="preserve"> </w:t>
      </w:r>
      <w:r>
        <w:rPr>
          <w:b/>
          <w:bCs/>
        </w:rPr>
        <w:t xml:space="preserve">dual mirror descent</w:t>
      </w:r>
      <w:r>
        <w:t xml:space="preserve"> </w:t>
      </w:r>
      <w:r>
        <w:t xml:space="preserve">[21] in both Euclidean and entropic geometries, tuned on the planning window, so the comparison is not against a straw controller; the earlier scalar quota-error controller is retained as a practical baseline.</w:t>
      </w:r>
    </w:p>
    <w:p>
      <w:pPr>
        <w:pStyle w:val="BodyText"/>
      </w:pPr>
      <w:r>
        <w:t xml:space="preserve">At exact feasibility all seven policies cluster within a point; most of the value is the forecast itself, which each consumes. Under contention they separate, and the separation is a spectrum set by how the prices are obtained. Adaptation degrades with the update rule: the scalar controller weakens first (+0.7% at 110% quotas, −6.9% at 150%), Euclidean mirror descent holds to 110% then falls (−4.8% at 150%), and even the strongest adaptive method, entropic mirror descent, tracks the re-solved plan through 125% over-subscription (+3.06% versus +3.39%) before turning slightly negative at 150% (−0.5%). The two policies that do not learn prices online, the re-solved plan and the fixed optimal dual, are the only ones positive at every level, and the re-solved plan is positive throughout (+2.2% to +4.3%). The semi-synthetic benchmark of Section 4.1 bounds what this table can resolve: gaps at or below roughly 0.3 points, the feasibility row where every policy clusters and the re-solve-versus-entropic-DMD cell at 125%, are within the protocol’s resolution and are not read here as an ordering; the collapses that carry the argument, 3 to 45 points, are far outside it. Two conclusions follow, each carefully scoped. First, the failure under heavy over-subscription is shared by every adaptive dual-price method we test, modern mirror descent included, not an artifact of a weak controller; a well-chosen adaptive method (entropic DMD) is nonetheless competitive through moderate contention, so the claim is about the heavy-contention regime, not adaptation in general. Second, the fixed optimal dual’s survival under this objective shows per-campaign pricing itself is not the problem, as linear-programming duality predicts: a static optimal price vector can carry the allocation. What fails as contention grows is learning that vector online. This second conclusion is the more fragile of the two: the revenue objective below will show the one-shot optimal dual is not universally robust, since a price vector solved once against the fluid plan can misprice campaigns when the realized arrival order departs from it. The claim that survives every objective and every dataset we test is therefore narrower and sharper than “fixed prices work”: prices should be</w:t>
      </w:r>
      <w:r>
        <w:t xml:space="preserve"> </w:t>
      </w:r>
      <w:r>
        <w:rPr>
          <w:i/>
          <w:iCs/>
        </w:rPr>
        <w:t xml:space="preserve">obtained by solving</w:t>
      </w:r>
      <w:r>
        <w:t xml:space="preserve">, and re-solving on the pacing cadence is the only price source that is positive in every regime, objective, and market we measure.</w:t>
      </w:r>
    </w:p>
    <w:p>
      <w:pPr>
        <w:pStyle w:val="BodyText"/>
      </w:pPr>
      <w:r>
        <w:t xml:space="preserve">The deployment rule follows: the LP’s prices are what matter, so obtain them by solving, either recomputing on the pacing cadence (re-solve) or holding the LP optimum (fixed dual); online price learning is competitive only while contention is mild, and no adaptive variant we test survives heavy over-subscription.</w:t>
      </w:r>
    </w:p>
    <w:p>
      <w:pPr>
        <w:pStyle w:val="BodyText"/>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whose interaction residuals correlate at r = 0.95 across the shared campaign-by-platform cells; the axis has three platform levels, so this is a statement about the stability of campaigns’ platform preferences, not a many-point fit). At native quotas the Outbrain market is barely contended, per-segment supply dwarfs the quotas, so every policy sits within a percentage point of greedy, exactly the low-contention corner of the map. Under the same over-subscription stress, the ordering returns and sharpens: the re-solved plan is the only policy positive at every level (+0.3 to +0.6%), the static plan and the fixed optimal-dual degrade gently, and online scalar pacing collapses far more steeply than on Taobao, to −19%, −34%, and −44% at 1.5×, 2×, and 3× quotas. That online price learning, not per-campaign pricing, is the failure under contention, and that solving for the prices is the robust choice, holds across two datasets from different domains. Two honest qualifications attach to this second market. The over-subscription sweep is a counterfactual market that Outbrain’s operator never ran: native quotas are barely contended, so the stress levels probe a demand regime absent from the log, and the result is a statement about the mechanism under contention, not about Outbrain’s realized traffic. And the native low contention is itself a</w:t>
      </w:r>
      <w:r>
        <w:t xml:space="preserve"> </w:t>
      </w:r>
      <w:r>
        <w:rPr>
          <w:i/>
          <w:iCs/>
        </w:rPr>
        <w:t xml:space="preserve">measurable</w:t>
      </w:r>
      <w:r>
        <w:t xml:space="preserve"> </w:t>
      </w:r>
      <w:r>
        <w:t xml:space="preserve">quantity, not a post-hoc excuse: the per-segment supply exceeds the median quota by more than two orders of magnitude, so the abstain-when-uncontended condition is a pre-deployment check (compare quota to segment supply) rather than a judgment made after seeing the lift. The truncated final serving day, whose partial log would understate late-day supply, is excluded throughout.</w:t>
      </w:r>
    </w:p>
    <w:p>
      <w:pPr>
        <w:pStyle w:val="BodyText"/>
      </w:pPr>
      <w:r>
        <w:t xml:space="preserve">The regime map also survives a change of objective, from clicks to revenue under guaranteed delivery. We reformulate the market so campaigns carry heterogeneous per-impression values and unmet quotas cost a makegood penalty: half the campaigns, drawn at random, pay per click, so their value on a segment is cpc</w:t>
      </w:r>
      <w:r>
        <w:rPr>
          <w:vertAlign w:val="subscript"/>
        </w:rPr>
        <w:t xml:space="preserve">c</w:t>
      </w:r>
      <w:r>
        <w:t xml:space="preserve"> · p</w:t>
      </w:r>
      <w:r>
        <w:rPr>
          <w:vertAlign w:val="subscript"/>
        </w:rPr>
        <w:t xml:space="preserve">cs</w:t>
      </w:r>
      <w:r>
        <w:t xml:space="preserve"> </w:t>
      </w:r>
      <w:r>
        <w:t xml:space="preserve">and rides on the interaction the paper is about, and half pay per impression at a flat cpm</w:t>
      </w:r>
      <w:r>
        <w:rPr>
          <w:vertAlign w:val="subscript"/>
        </w:rPr>
        <w:t xml:space="preserve">c</w:t>
      </w:r>
      <w:r>
        <w:t xml:space="preserve"> </w:t>
      </w:r>
      <w:r>
        <w:t xml:space="preserve">that rewards reach and is indifferent to the segment, with the two types calibrated to the same mean value per impression so neither dominates by construction; delivery is capped at the booked quota and each undelivered guaranteed impression costs a penalty β</w:t>
      </w:r>
      <w:r>
        <w:rPr>
          <w:vertAlign w:val="subscript"/>
        </w:rPr>
        <w:t xml:space="preserve">c</w:t>
      </w:r>
      <w:r>
        <w:t xml:space="preserve">. Across eight independent value draws and four contention levels, the static plan and the re-solved plan are the top tier in every one of the resulting cells, positive throughout (about +0.4% to +5% over revenue-greedy at makegood-at-par pricing), and their advantage</w:t>
      </w:r>
      <w:r>
        <w:t xml:space="preserve"> </w:t>
      </w:r>
      <w:r>
        <w:rPr>
          <w:i/>
          <w:iCs/>
        </w:rPr>
        <w:t xml:space="preserve">grows</w:t>
      </w:r>
      <w:r>
        <w:t xml:space="preserve"> </w:t>
      </w:r>
      <w:r>
        <w:t xml:space="preserve">as the guarantee hardens: sweeping the penalty from a pure spot market to a near-hard guarantee, the plan-tier lift rises into double digits under heavy contention, because a makegood-exposed seller is punished most for exactly the misallocation that planning removes. The adaptive policies stay positive but trail the plan tier throughout; unlike the pure-click objective they do not collapse to large negatives, because a mispaced impression still earns its flat CPM value and still retires a makegood liability, so the revenue objective is more forgiving of online mispricing than clicks are. The fixed optimal dual is the least stable policy: positive at exact feasibility in every draw (+1% to +4%) but negative under contention in the majority of them, as low as −7.7%, because a price vector solved once against the fluid plan starves guaranteed campaigns when the realized arrival order departs from it, earning high gross value while paying large makegood penalties, a per-campaign decomposition the released harness prints. Re-solving on the pacing cadence removes the fragility, positive in every draw at every level. The deployment rule, solve for the prices and re-solve on the pacing cadence, is therefore a property of the allocation, not of the click objective it was first measured on.</w:t>
      </w:r>
    </w:p>
    <w:p>
      <w:pPr>
        <w:pStyle w:val="BodyText"/>
      </w:pPr>
      <w:r>
        <w:t xml:space="preserve">Three robustness checks anchor the table. The headline planned-versus-greedy comparison survives a user-clustered bootstrap (z = +4.55) and an across-fold t-test (t(4) = +5.50); at exact feasibility the strong policies are statistically close, so the ordering across contention regimes, not any single feasibility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32"/>
    <w:bookmarkStart w:id="36" w:name="simulation-as-calibration"/>
    <w:p>
      <w:pPr>
        <w:pStyle w:val="Heading2"/>
      </w:pPr>
      <w:r>
        <w:t xml:space="preserve">7</w:t>
      </w:r>
      <w:r>
        <w:t xml:space="preserve">Simulation as calibration</w:t>
      </w:r>
    </w:p>
    <w:p>
      <w:pPr>
        <w:pStyle w:val="FirstParagraph"/>
      </w:pPr>
      <w:r>
        <w:t xml:space="preserve">Before any real log is replayed, a fully synthetic market calibrates the harness where ground truth is known. The four-subscriber example of Section 2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3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 (20 replications)</w:t>
            </w:r>
          </w:p>
        </w:tc>
        <w:tc>
          <w:tcPr/>
          <w:p>
            <w:pPr>
              <w:pStyle w:val="Compact"/>
              <w:jc w:val="left"/>
            </w:pPr>
            <w:r>
              <w:t xml:space="preserve">Mean</w:t>
            </w:r>
          </w:p>
        </w:tc>
        <w:tc>
          <w:tcPr/>
          <w:p>
            <w:pPr>
              <w:pStyle w:val="Compact"/>
              <w:jc w:val="left"/>
            </w:pPr>
            <w:r>
              <w:t xml:space="preserve">Range</w:t>
            </w:r>
          </w:p>
        </w:tc>
      </w:tr>
      <w:tr>
        <w:tc>
          <w:tcPr/>
          <w:p>
            <w:pPr>
              <w:pStyle w:val="Compact"/>
              <w:jc w:val="left"/>
            </w:pPr>
            <w:r>
              <w:t xml:space="preserve">Revenue lift, planned over greedy</w:t>
            </w:r>
          </w:p>
        </w:tc>
        <w:tc>
          <w:tcPr/>
          <w:p>
            <w:pPr>
              <w:pStyle w:val="Compact"/>
              <w:jc w:val="left"/>
            </w:pPr>
            <w:r>
              <w:t xml:space="preserve">+6.5%</w:t>
            </w:r>
          </w:p>
        </w:tc>
        <w:tc>
          <w:tcPr/>
          <w:p>
            <w:pPr>
              <w:pStyle w:val="Compact"/>
              <w:jc w:val="left"/>
            </w:pPr>
            <w:r>
              <w:t xml:space="preserve">+4.1% to +8.8%</w:t>
            </w:r>
          </w:p>
        </w:tc>
      </w:tr>
      <w:tr>
        <w:tc>
          <w:tcPr/>
          <w:p>
            <w:pPr>
              <w:pStyle w:val="Compact"/>
              <w:jc w:val="left"/>
            </w:pPr>
            <w:r>
              <w:t xml:space="preserve">Expected-click lift, planned over greedy</w:t>
            </w:r>
          </w:p>
        </w:tc>
        <w:tc>
          <w:tcPr/>
          <w:p>
            <w:pPr>
              <w:pStyle w:val="Compact"/>
              <w:jc w:val="left"/>
            </w:pPr>
            <w:r>
              <w:t xml:space="preserve">+33.0%</w:t>
            </w:r>
          </w:p>
        </w:tc>
        <w:tc>
          <w:tcPr/>
          <w:p>
            <w:pPr>
              <w:pStyle w:val="Compact"/>
              <w:jc w:val="left"/>
            </w:pPr>
            <w:r>
              <w:t xml:space="preserve">+22.9% to +40.6%</w:t>
            </w:r>
          </w:p>
        </w:tc>
      </w:tr>
      <w:tr>
        <w:tc>
          <w:tcPr/>
          <w:p>
            <w:pPr>
              <w:pStyle w:val="Compact"/>
              <w:jc w:val="left"/>
            </w:pPr>
            <w:r>
              <w:t xml:space="preserve">Planned revenue as share of hindsight bound</w:t>
            </w:r>
          </w:p>
        </w:tc>
        <w:tc>
          <w:tcPr/>
          <w:p>
            <w:pPr>
              <w:pStyle w:val="Compact"/>
              <w:jc w:val="left"/>
            </w:pPr>
            <w:r>
              <w:t xml:space="preserve">93.8%</w:t>
            </w:r>
          </w:p>
        </w:tc>
        <w:tc>
          <w:tcPr/>
          <w:p>
            <w:pPr>
              <w:pStyle w:val="Compact"/>
              <w:jc w:val="left"/>
            </w:pPr>
            <w:r>
              <w:t xml:space="preserve">≥ 91.7%</w:t>
            </w:r>
          </w:p>
        </w:tc>
      </w:tr>
      <w:tr>
        <w:tc>
          <w:tcPr/>
          <w:p>
            <w:pPr>
              <w:pStyle w:val="Compact"/>
              <w:jc w:val="left"/>
            </w:pPr>
            <w:r>
              <w:t xml:space="preserve">Greedy revenue as share of hindsight bound</w:t>
            </w:r>
          </w:p>
        </w:tc>
        <w:tc>
          <w:tcPr/>
          <w:p>
            <w:pPr>
              <w:pStyle w:val="Compact"/>
              <w:jc w:val="left"/>
            </w:pPr>
            <w:r>
              <w:t xml:space="preserve">88.1%</w:t>
            </w:r>
          </w:p>
        </w:tc>
        <w:tc>
          <w:tcPr/>
          <w:p>
            <w:pPr>
              <w:pStyle w:val="Compact"/>
              <w:jc w:val="left"/>
            </w:pPr>
            <w:r>
              <w:t xml:space="preserve">≥ 85.4%</w:t>
            </w:r>
          </w:p>
        </w:tc>
      </w:tr>
      <w:tr>
        <w:tc>
          <w:tcPr/>
          <w:p>
            <w:pPr>
              <w:pStyle w:val="Compact"/>
              <w:jc w:val="left"/>
            </w:pPr>
            <w:r>
              <w:t xml:space="preserve">Quota fill, both policies</w:t>
            </w:r>
          </w:p>
        </w:tc>
        <w:tc>
          <w:tcPr/>
          <w:p>
            <w:pPr>
              <w:pStyle w:val="Compact"/>
              <w:jc w:val="left"/>
            </w:pPr>
            <w:r>
              <w:t xml:space="preserve">100%</w:t>
            </w:r>
          </w:p>
        </w:tc>
        <w:tc>
          <w:tcPr/>
          <w:p>
            <w:pPr>
              <w:pStyle w:val="Compact"/>
              <w:jc w:val="left"/>
            </w:pPr>
            <w:r>
              <w:t xml:space="preserve">all replications</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370666"/>
                  <wp:effectExtent b="0" l="0" r="0" t="0"/>
                  <wp:docPr descr="" title="" id="34" name="Picture"/>
                  <a:graphic>
                    <a:graphicData uri="http://schemas.openxmlformats.org/drawingml/2006/picture">
                      <pic:pic>
                        <pic:nvPicPr>
                          <pic:cNvPr descr="file:///E:/tmp/claude/E--Projects-Submitted-MobileAd-Comverse/464e82cd-870f-4dc1-b795-92348cf1a9b8/scratchpad/figs/fig2.png" id="35" name="Picture"/>
                          <pic:cNvPicPr>
                            <a:picLocks noChangeArrowheads="1" noChangeAspect="1"/>
                          </pic:cNvPicPr>
                        </pic:nvPicPr>
                        <pic:blipFill>
                          <a:blip r:embed="rId33"/>
                          <a:stretch>
                            <a:fillRect/>
                          </a:stretch>
                        </pic:blipFill>
                        <pic:spPr bwMode="auto">
                          <a:xfrm>
                            <a:off x="0" y="0"/>
                            <a:ext cx="5334000" cy="2370666"/>
                          </a:xfrm>
                          <a:prstGeom prst="rect">
                            <a:avLst/>
                          </a:prstGeom>
                          <a:noFill/>
                          <a:ln w="9525">
                            <a:noFill/>
                            <a:headEnd/>
                            <a:tailEnd/>
                          </a:ln>
                        </pic:spPr>
                      </pic:pic>
                    </a:graphicData>
                  </a:graphic>
                </wp:inline>
              </w:drawing>
            </w:r>
          </w:p>
        </w:tc>
      </w:tr>
    </w:tbl>
    <w:p>
      <w:pPr>
        <w:pStyle w:val="ImageCaption"/>
      </w:pPr>
      <w:r>
        <w:t xml:space="preserve">Figure 2.</w:t>
      </w:r>
      <w:r>
        <w:t xml:space="preserve"> </w:t>
      </w:r>
      <w:r>
        <w:t xml:space="preserve">Revenue captured by each policy as a share of the hindsight offline optimum, per replication. Planned allocation dominates greedy serving in all 20 replications; the two distributions do not overlap (planned minimum 91.7%, greedy maximum 91.6%).</w:t>
      </w:r>
    </w:p>
    <w:p>
      <w:pPr>
        <w:pStyle w:val="BodyText"/>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Section 8.2’s pacing mechanism and the refinement loop exist to absorb.</w:t>
      </w:r>
    </w:p>
    <w:bookmarkEnd w:id="36"/>
    <w:bookmarkStart w:id="55" w:name="a-reference-serving-architecture"/>
    <w:p>
      <w:pPr>
        <w:pStyle w:val="Heading2"/>
      </w:pPr>
      <w:r>
        <w:t xml:space="preserve">8</w:t>
      </w:r>
      <w:r>
        <w:t xml:space="preserve">A reference serving architecture</w:t>
      </w:r>
    </w:p>
    <w:p>
      <w:pPr>
        <w:pStyle w:val="FirstParagraph"/>
      </w:pPr>
      <w:r>
        <w:t xml:space="preserve">This section describes the deployment design that motivated the study: an operator-grade two-stage architecture that compiles the allocation plan into constant-time lookup serving. It is a design sketch: the experiments of Sections 4–6 validate the allocation core (plan versus serving policy at segment granularity), not the per-subscriber machinery described here.</w:t>
      </w:r>
    </w:p>
    <w:p>
      <w:pPr>
        <w:pStyle w:val="BodyText"/>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Web ad network</w:t>
            </w:r>
          </w:p>
        </w:tc>
        <w:tc>
          <w:tcPr/>
          <w:p>
            <w:pPr>
              <w:pStyle w:val="Compact"/>
              <w:jc w:val="left"/>
            </w:pPr>
            <w:r>
              <w:t xml:space="preserve">Network operator</w:t>
            </w:r>
          </w:p>
        </w:tc>
      </w:tr>
      <w:tr>
        <w:tc>
          <w:tcPr/>
          <w:p>
            <w:pPr>
              <w:pStyle w:val="Compact"/>
              <w:jc w:val="left"/>
            </w:pPr>
            <w:r>
              <w:t xml:space="preserve">Identity</w:t>
            </w:r>
          </w:p>
        </w:tc>
        <w:tc>
          <w:tcPr/>
          <w:p>
            <w:pPr>
              <w:pStyle w:val="Compact"/>
              <w:jc w:val="left"/>
            </w:pPr>
            <w:r>
              <w:t xml:space="preserve">Cookie or device fingerprint; resettable, unverified</w:t>
            </w:r>
          </w:p>
        </w:tc>
        <w:tc>
          <w:tcPr/>
          <w:p>
            <w:pPr>
              <w:pStyle w:val="Compact"/>
              <w:jc w:val="left"/>
            </w:pPr>
            <w:r>
              <w:t xml:space="preserve">Subscriber account; stable, verified, one per person</w:t>
            </w:r>
          </w:p>
        </w:tc>
      </w:tr>
      <w:tr>
        <w:tc>
          <w:tcPr/>
          <w:p>
            <w:pPr>
              <w:pStyle w:val="Compact"/>
              <w:jc w:val="left"/>
            </w:pPr>
            <w:r>
              <w:t xml:space="preserve">Demographics</w:t>
            </w:r>
          </w:p>
        </w:tc>
        <w:tc>
          <w:tcPr/>
          <w:p>
            <w:pPr>
              <w:pStyle w:val="Compact"/>
              <w:jc w:val="left"/>
            </w:pPr>
            <w:r>
              <w:t xml:space="preserve">Inferred from behavior</w:t>
            </w:r>
          </w:p>
        </w:tc>
        <w:tc>
          <w:tcPr/>
          <w:p>
            <w:pPr>
              <w:pStyle w:val="Compact"/>
              <w:jc w:val="left"/>
            </w:pPr>
            <w:r>
              <w:t xml:space="preserve">Declared at subscription: age, gender, address</w:t>
            </w:r>
          </w:p>
        </w:tc>
      </w:tr>
      <w:tr>
        <w:tc>
          <w:tcPr/>
          <w:p>
            <w:pPr>
              <w:pStyle w:val="Compact"/>
              <w:jc w:val="left"/>
            </w:pPr>
            <w:r>
              <w:t xml:space="preserve">Financial signal</w:t>
            </w:r>
          </w:p>
        </w:tc>
        <w:tc>
          <w:tcPr/>
          <w:p>
            <w:pPr>
              <w:pStyle w:val="Compact"/>
              <w:jc w:val="left"/>
            </w:pPr>
            <w:r>
              <w:t xml:space="preserve">None or modeled</w:t>
            </w:r>
          </w:p>
        </w:tc>
        <w:tc>
          <w:tcPr/>
          <w:p>
            <w:pPr>
              <w:pStyle w:val="Compact"/>
              <w:jc w:val="left"/>
            </w:pPr>
            <w:r>
              <w:t xml:space="preserve">Plan, spend level, content purchase history</w:t>
            </w:r>
          </w:p>
        </w:tc>
      </w:tr>
      <w:tr>
        <w:tc>
          <w:tcPr/>
          <w:p>
            <w:pPr>
              <w:pStyle w:val="Compact"/>
              <w:jc w:val="left"/>
            </w:pPr>
            <w:r>
              <w:t xml:space="preserve">Location</w:t>
            </w:r>
          </w:p>
        </w:tc>
        <w:tc>
          <w:tcPr/>
          <w:p>
            <w:pPr>
              <w:pStyle w:val="Compact"/>
              <w:jc w:val="left"/>
            </w:pPr>
            <w:r>
              <w:t xml:space="preserve">Coarse, via IP</w:t>
            </w:r>
          </w:p>
        </w:tc>
        <w:tc>
          <w:tcPr/>
          <w:p>
            <w:pPr>
              <w:pStyle w:val="Compact"/>
              <w:jc w:val="left"/>
            </w:pPr>
            <w:r>
              <w:t xml:space="preserve">Network-observed, continuous</w:t>
            </w:r>
          </w:p>
        </w:tc>
      </w:tr>
      <w:tr>
        <w:tc>
          <w:tcPr/>
          <w:p>
            <w:pPr>
              <w:pStyle w:val="Compact"/>
              <w:jc w:val="left"/>
            </w:pPr>
            <w:r>
              <w:t xml:space="preserve">Browsing coverage</w:t>
            </w:r>
          </w:p>
        </w:tc>
        <w:tc>
          <w:tcPr/>
          <w:p>
            <w:pPr>
              <w:pStyle w:val="Compact"/>
              <w:jc w:val="left"/>
            </w:pPr>
            <w:r>
              <w:t xml:space="preserve">Sites the network instruments</w:t>
            </w:r>
          </w:p>
        </w:tc>
        <w:tc>
          <w:tcPr/>
          <w:p>
            <w:pPr>
              <w:pStyle w:val="Compact"/>
              <w:jc w:val="left"/>
            </w:pPr>
            <w:r>
              <w:t xml:space="preserve">All traffic through the gateway</w:t>
            </w:r>
          </w:p>
        </w:tc>
      </w:tr>
      <w:tr>
        <w:tc>
          <w:tcPr/>
          <w:p>
            <w:pPr>
              <w:pStyle w:val="Compact"/>
              <w:jc w:val="left"/>
            </w:pPr>
            <w:r>
              <w:t xml:space="preserve">Exposure control</w:t>
            </w:r>
          </w:p>
        </w:tc>
        <w:tc>
          <w:tcPr/>
          <w:p>
            <w:pPr>
              <w:pStyle w:val="Compact"/>
              <w:jc w:val="left"/>
            </w:pPr>
            <w:r>
              <w:t xml:space="preserve">Per-site frequency caps</w:t>
            </w:r>
          </w:p>
        </w:tc>
        <w:tc>
          <w:tcPr/>
          <w:p>
            <w:pPr>
              <w:pStyle w:val="Compact"/>
              <w:jc w:val="left"/>
            </w:pPr>
            <w:r>
              <w:t xml:space="preserve">Global caps across all inventory, per subscriber</w:t>
            </w:r>
          </w:p>
        </w:tc>
      </w:tr>
    </w:tbl>
    <w:p>
      <w:pPr>
        <w:pStyle w:val="BodyText"/>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5 are a handful of aggregate behavior tiers, not individual dossiers. Not every subscriber has a profile at all: prepaid subscribers may be anonymous, which is why the clustering machinery supports membership computed from response behavior alone (Section 8.1.3).</w:t>
      </w:r>
    </w:p>
    <w:bookmarkStart w:id="37" w:name="X76cd0aab14a1b3a28329e6411b338cd4e16a2d0"/>
    <w:p>
      <w:pPr>
        <w:pStyle w:val="Heading3"/>
      </w:pPr>
      <w:r>
        <w:t xml:space="preserve">8.1 The offline stage: learning the inputs to the plan</w:t>
      </w:r>
    </w:p>
    <w:p>
      <w:pPr>
        <w:pStyle w:val="FirstParagraph"/>
      </w:pP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2"/>
        </w:numPr>
      </w:pPr>
      <w:r>
        <w:t xml:space="preserve">The distribution of (context, profile) pairs observed in the past will recur in the future.</w:t>
      </w:r>
    </w:p>
    <w:p>
      <w:pPr>
        <w:pStyle w:val="Compact"/>
        <w:numPr>
          <w:ilvl w:val="0"/>
          <w:numId w:val="1002"/>
        </w:numPr>
      </w:pPr>
      <w:r>
        <w:t xml:space="preserve">Subscribers who responded similarly under similar conditions will continue to respond similarly.</w:t>
      </w:r>
    </w:p>
    <w:p>
      <w:pPr>
        <w:pStyle w:val="Compact"/>
        <w:numPr>
          <w:ilvl w:val="0"/>
          <w:numId w:val="1002"/>
        </w:numPr>
      </w:pPr>
      <w:r>
        <w:t xml:space="preserve">Subscribers who respond similarly share something observable in their profiles or histories.</w:t>
      </w:r>
    </w:p>
    <w:p>
      <w:pPr>
        <w:pStyle w:val="FirstParagraph"/>
      </w:pPr>
      <w:r>
        <w:t xml:space="preserve">Assumption 1 justifies forecasting traffic from history; assumptions 2 and 3 justify pooling sparse per-subscriber click data into clusters that have enough volume to estimate probabilities reliably.</w:t>
      </w:r>
    </w:p>
    <w:bookmarkEnd w:id="37"/>
    <w:bookmarkStart w:id="38" w:name="response-records"/>
    <w:p>
      <w:pPr>
        <w:pStyle w:val="Heading3"/>
      </w:pPr>
      <w:r>
        <w:t xml:space="preserve">8.1.1 Response records</w:t>
      </w:r>
    </w:p>
    <w:p>
      <w:pPr>
        <w:pStyle w:val="FirstParagraph"/>
      </w:pPr>
      <w:r>
        <w:t xml:space="preserve">The atomic unit of evidence is an ad response record: who saw what, in what context, and whether they clicked.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Content category</w:t>
            </w:r>
          </w:p>
        </w:tc>
        <w:tc>
          <w:tcPr/>
          <w:p>
            <w:pPr>
              <w:pStyle w:val="Compact"/>
              <w:jc w:val="left"/>
            </w:pPr>
            <w:r>
              <w:t xml:space="preserve">Campaign</w:t>
            </w:r>
          </w:p>
        </w:tc>
        <w:tc>
          <w:tcPr/>
          <w:p>
            <w:pPr>
              <w:pStyle w:val="Compact"/>
              <w:jc w:val="left"/>
            </w:pPr>
            <w:r>
              <w:t xml:space="preserve">Click</w:t>
            </w:r>
          </w:p>
        </w:tc>
      </w:tr>
      <w:tr>
        <w:tc>
          <w:tcPr/>
          <w:p>
            <w:pPr>
              <w:pStyle w:val="Compact"/>
              <w:jc w:val="left"/>
            </w:pPr>
            <w:r>
              <w:t xml:space="preserve">11:23</w:t>
            </w:r>
          </w:p>
        </w:tc>
        <w:tc>
          <w:tcPr/>
          <w:p>
            <w:pPr>
              <w:pStyle w:val="Compact"/>
              <w:jc w:val="left"/>
            </w:pPr>
            <w:r>
              <w:t xml:space="preserve">Monday</w:t>
            </w:r>
          </w:p>
        </w:tc>
        <w:tc>
          <w:tcPr/>
          <w:p>
            <w:pPr>
              <w:pStyle w:val="Compact"/>
              <w:jc w:val="left"/>
            </w:pPr>
            <w:r>
              <w:t xml:space="preserve">News</w:t>
            </w:r>
          </w:p>
        </w:tc>
        <w:tc>
          <w:tcPr/>
          <w:p>
            <w:pPr>
              <w:pStyle w:val="Compact"/>
              <w:jc w:val="left"/>
            </w:pPr>
            <w:r>
              <w:t xml:space="preserve">C1 (active)</w:t>
            </w:r>
          </w:p>
        </w:tc>
        <w:tc>
          <w:tcPr/>
          <w:p>
            <w:pPr>
              <w:pStyle w:val="Compact"/>
              <w:jc w:val="left"/>
            </w:pPr>
            <w:r>
              <w:t xml:space="preserve">0</w:t>
            </w:r>
          </w:p>
        </w:tc>
      </w:tr>
      <w:tr>
        <w:tc>
          <w:tcPr/>
          <w:p>
            <w:pPr>
              <w:pStyle w:val="Compact"/>
              <w:jc w:val="left"/>
            </w:pPr>
            <w:r>
              <w:t xml:space="preserve">14:15</w:t>
            </w:r>
          </w:p>
        </w:tc>
        <w:tc>
          <w:tcPr/>
          <w:p>
            <w:pPr>
              <w:pStyle w:val="Compact"/>
              <w:jc w:val="left"/>
            </w:pPr>
            <w:r>
              <w:t xml:space="preserve">Monday</w:t>
            </w:r>
          </w:p>
        </w:tc>
        <w:tc>
          <w:tcPr/>
          <w:p>
            <w:pPr>
              <w:pStyle w:val="Compact"/>
              <w:jc w:val="left"/>
            </w:pPr>
            <w:r>
              <w:t xml:space="preserve">Sport</w:t>
            </w:r>
          </w:p>
        </w:tc>
        <w:tc>
          <w:tcPr/>
          <w:p>
            <w:pPr>
              <w:pStyle w:val="Compact"/>
              <w:jc w:val="left"/>
            </w:pPr>
            <w:r>
              <w:t xml:space="preserve">C2 (active)</w:t>
            </w:r>
          </w:p>
        </w:tc>
        <w:tc>
          <w:tcPr/>
          <w:p>
            <w:pPr>
              <w:pStyle w:val="Compact"/>
              <w:jc w:val="left"/>
            </w:pPr>
            <w:r>
              <w:t xml:space="preserve">1</w:t>
            </w:r>
          </w:p>
        </w:tc>
      </w:tr>
      <w:tr>
        <w:tc>
          <w:tcPr/>
          <w:p>
            <w:pPr>
              <w:pStyle w:val="Compact"/>
              <w:jc w:val="left"/>
            </w:pPr>
            <w:r>
              <w:t xml:space="preserve">18:14</w:t>
            </w:r>
          </w:p>
        </w:tc>
        <w:tc>
          <w:tcPr/>
          <w:p>
            <w:pPr>
              <w:pStyle w:val="Compact"/>
              <w:jc w:val="left"/>
            </w:pPr>
            <w:r>
              <w:t xml:space="preserve">Sunday</w:t>
            </w:r>
          </w:p>
        </w:tc>
        <w:tc>
          <w:tcPr/>
          <w:p>
            <w:pPr>
              <w:pStyle w:val="Compact"/>
              <w:jc w:val="left"/>
            </w:pPr>
            <w:r>
              <w:t xml:space="preserve">Sport</w:t>
            </w:r>
          </w:p>
        </w:tc>
        <w:tc>
          <w:tcPr/>
          <w:p>
            <w:pPr>
              <w:pStyle w:val="Compact"/>
              <w:jc w:val="left"/>
            </w:pPr>
            <w:r>
              <w:t xml:space="preserve">C4 (past)</w:t>
            </w:r>
          </w:p>
        </w:tc>
        <w:tc>
          <w:tcPr/>
          <w:p>
            <w:pPr>
              <w:pStyle w:val="Compact"/>
              <w:jc w:val="left"/>
            </w:pPr>
            <w:r>
              <w:t xml:space="preserve">1</w:t>
            </w:r>
          </w:p>
        </w:tc>
      </w:tr>
    </w:tbl>
    <w:p>
      <w:pPr>
        <w:pStyle w:val="BodyText"/>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bookmarkEnd w:id="38"/>
    <w:bookmarkStart w:id="39" w:name="proximity-and-clustering"/>
    <w:p>
      <w:pPr>
        <w:pStyle w:val="Heading3"/>
      </w:pPr>
      <w:r>
        <w:t xml:space="preserve">8.1.2 Proximity and clustering</w:t>
      </w:r>
    </w:p>
    <w:p>
      <w:pPr>
        <w:pStyle w:val="FirstParagraph"/>
      </w:pPr>
      <w:r>
        <w:t xml:space="preserve">Subscribers are clustered by a weighted distance that mixes profile similarity with response-pattern similarity: response to the same campaigns (active and past) and to similar campaigns. Each attribute contributes its own distance component: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Attribute</w:t>
            </w:r>
          </w:p>
        </w:tc>
        <w:tc>
          <w:tcPr/>
          <w:p>
            <w:pPr>
              <w:pStyle w:val="Compact"/>
              <w:jc w:val="left"/>
            </w:pPr>
            <w:r>
              <w:t xml:space="preserve">Distance component</w:t>
            </w:r>
          </w:p>
        </w:tc>
      </w:tr>
      <w:tr>
        <w:tc>
          <w:tcPr/>
          <w:p>
            <w:pPr>
              <w:pStyle w:val="Compact"/>
              <w:jc w:val="left"/>
            </w:pPr>
            <w:r>
              <w:t xml:space="preserve">Age</w:t>
            </w:r>
          </w:p>
        </w:tc>
        <w:tc>
          <w:tcPr/>
          <w:p>
            <w:pPr>
              <w:pStyle w:val="Compact"/>
              <w:jc w:val="left"/>
            </w:pPr>
            <w:r>
              <w:t xml:space="preserve">Absolute difference</w:t>
            </w:r>
          </w:p>
        </w:tc>
      </w:tr>
      <w:tr>
        <w:tc>
          <w:tcPr/>
          <w:p>
            <w:pPr>
              <w:pStyle w:val="Compact"/>
              <w:jc w:val="left"/>
            </w:pPr>
            <w:r>
              <w:t xml:space="preserve">Gender</w:t>
            </w:r>
          </w:p>
        </w:tc>
        <w:tc>
          <w:tcPr/>
          <w:p>
            <w:pPr>
              <w:pStyle w:val="Compact"/>
              <w:jc w:val="left"/>
            </w:pPr>
            <w:r>
              <w:t xml:space="preserve">Fixed penalty if different</w:t>
            </w:r>
          </w:p>
        </w:tc>
      </w:tr>
      <w:tr>
        <w:tc>
          <w:tcPr/>
          <w:p>
            <w:pPr>
              <w:pStyle w:val="Compact"/>
              <w:jc w:val="left"/>
            </w:pPr>
            <w:r>
              <w:t xml:space="preserve">Campaign affinity</w:t>
            </w:r>
          </w:p>
        </w:tc>
        <w:tc>
          <w:tcPr/>
          <w:p>
            <w:pPr>
              <w:pStyle w:val="Compact"/>
              <w:jc w:val="left"/>
            </w:pPr>
            <w:r>
              <w:t xml:space="preserve">By campaign category; fixed penalty if different</w:t>
            </w:r>
          </w:p>
        </w:tc>
      </w:tr>
      <w:tr>
        <w:tc>
          <w:tcPr/>
          <w:p>
            <w:pPr>
              <w:pStyle w:val="Compact"/>
              <w:jc w:val="left"/>
            </w:pPr>
            <w:r>
              <w:t xml:space="preserve">Day of week</w:t>
            </w:r>
          </w:p>
        </w:tc>
        <w:tc>
          <w:tcPr/>
          <w:p>
            <w:pPr>
              <w:pStyle w:val="Compact"/>
              <w:jc w:val="left"/>
            </w:pPr>
            <w:r>
              <w:t xml:space="preserve">Absolute difference, circular</w:t>
            </w:r>
          </w:p>
        </w:tc>
      </w:tr>
      <w:tr>
        <w:tc>
          <w:tcPr/>
          <w:p>
            <w:pPr>
              <w:pStyle w:val="Compact"/>
              <w:jc w:val="left"/>
            </w:pPr>
            <w:r>
              <w:t xml:space="preserve">Location (x, y)</w:t>
            </w:r>
          </w:p>
        </w:tc>
        <w:tc>
          <w:tcPr/>
          <w:p>
            <w:pPr>
              <w:pStyle w:val="Compact"/>
              <w:jc w:val="left"/>
            </w:pPr>
            <w:r>
              <w:t xml:space="preserve">Straight-line distance</w:t>
            </w:r>
          </w:p>
        </w:tc>
      </w:tr>
    </w:tbl>
    <w:p>
      <w:pPr>
        <w:pStyle w:val="BodyText"/>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(Section 8.2), so predictions blend the behavior of every cluster the subscriber resembles.</w:t>
      </w:r>
    </w:p>
    <w:bookmarkEnd w:id="39"/>
    <w:bookmarkStart w:id="40" w:name="Xcf0c62df256e2cee415416a2e095f7c938d4365"/>
    <w:p>
      <w:pPr>
        <w:pStyle w:val="Heading3"/>
      </w:pPr>
      <w:r>
        <w:t xml:space="preserve">8.1.3 Cluster representation and click estimation</w:t>
      </w:r>
    </w:p>
    <w:p>
      <w:pPr>
        <w:pStyle w:val="FirstParagraph"/>
      </w:pP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Context slot</w:t>
            </w:r>
          </w:p>
        </w:tc>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Category</w:t>
            </w:r>
          </w:p>
        </w:tc>
        <w:tc>
          <w:tcPr/>
          <w:p>
            <w:pPr>
              <w:pStyle w:val="Compact"/>
              <w:jc w:val="left"/>
            </w:pPr>
            <w:r>
              <w:t xml:space="preserve">Predicted hits</w:t>
            </w:r>
          </w:p>
        </w:tc>
      </w:tr>
      <w:tr>
        <w:tc>
          <w:tcPr/>
          <w:p>
            <w:pPr>
              <w:pStyle w:val="Compact"/>
              <w:jc w:val="left"/>
            </w:pPr>
            <w:r>
              <w:t xml:space="preserve">CS1</w:t>
            </w:r>
          </w:p>
        </w:tc>
        <w:tc>
          <w:tcPr/>
          <w:p>
            <w:pPr>
              <w:pStyle w:val="Compact"/>
              <w:jc w:val="left"/>
            </w:pPr>
            <w:r>
              <w:t xml:space="preserve">10:00–12:00</w:t>
            </w:r>
          </w:p>
        </w:tc>
        <w:tc>
          <w:tcPr/>
          <w:p>
            <w:pPr>
              <w:pStyle w:val="Compact"/>
              <w:jc w:val="left"/>
            </w:pPr>
            <w:r>
              <w:t xml:space="preserve">Mon–Tue</w:t>
            </w:r>
          </w:p>
        </w:tc>
        <w:tc>
          <w:tcPr/>
          <w:p>
            <w:pPr>
              <w:pStyle w:val="Compact"/>
              <w:jc w:val="left"/>
            </w:pPr>
            <w:r>
              <w:t xml:space="preserve">News, Sport</w:t>
            </w:r>
          </w:p>
        </w:tc>
        <w:tc>
          <w:tcPr/>
          <w:p>
            <w:pPr>
              <w:pStyle w:val="Compact"/>
              <w:jc w:val="left"/>
            </w:pPr>
            <w:r>
              <w:t xml:space="preserve">3,000</w:t>
            </w:r>
          </w:p>
        </w:tc>
      </w:tr>
      <w:tr>
        <w:tc>
          <w:tcPr/>
          <w:p>
            <w:pPr>
              <w:pStyle w:val="Compact"/>
              <w:jc w:val="left"/>
            </w:pPr>
            <w:r>
              <w:t xml:space="preserve">CS2</w:t>
            </w:r>
          </w:p>
        </w:tc>
        <w:tc>
          <w:tcPr/>
          <w:p>
            <w:pPr>
              <w:pStyle w:val="Compact"/>
              <w:jc w:val="left"/>
            </w:pPr>
            <w:r>
              <w:t xml:space="preserve">11:00–17:00</w:t>
            </w:r>
          </w:p>
        </w:tc>
        <w:tc>
          <w:tcPr/>
          <w:p>
            <w:pPr>
              <w:pStyle w:val="Compact"/>
              <w:jc w:val="left"/>
            </w:pPr>
            <w:r>
              <w:t xml:space="preserve">Sun</w:t>
            </w:r>
          </w:p>
        </w:tc>
        <w:tc>
          <w:tcPr/>
          <w:p>
            <w:pPr>
              <w:pStyle w:val="Compact"/>
              <w:jc w:val="left"/>
            </w:pPr>
            <w:r>
              <w:t xml:space="preserve">Sport</w:t>
            </w:r>
          </w:p>
        </w:tc>
        <w:tc>
          <w:tcPr/>
          <w:p>
            <w:pPr>
              <w:pStyle w:val="Compact"/>
              <w:jc w:val="left"/>
            </w:pPr>
            <w:r>
              <w:t xml:space="preserve">4,000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Campaign</w:t>
            </w:r>
          </w:p>
        </w:tc>
        <w:tc>
          <w:tcPr/>
          <w:p>
            <w:pPr>
              <w:pStyle w:val="Compact"/>
              <w:jc w:val="left"/>
            </w:pPr>
            <w:r>
              <w:t xml:space="preserve">Context slot</w:t>
            </w:r>
          </w:p>
        </w:tc>
        <w:tc>
          <w:tcPr/>
          <w:p>
            <w:pPr>
              <w:pStyle w:val="Compact"/>
              <w:jc w:val="left"/>
            </w:pPr>
            <w:r>
              <w:t xml:space="preserve">Impressions</w:t>
            </w:r>
          </w:p>
        </w:tc>
        <w:tc>
          <w:tcPr/>
          <w:p>
            <w:pPr>
              <w:pStyle w:val="Compact"/>
              <w:jc w:val="left"/>
            </w:pPr>
            <w:r>
              <w:t xml:space="preserve">Clicks</w:t>
            </w:r>
          </w:p>
        </w:tc>
      </w:tr>
      <w:tr>
        <w:tc>
          <w:tcPr/>
          <w:p>
            <w:pPr>
              <w:pStyle w:val="Compact"/>
              <w:jc w:val="left"/>
            </w:pPr>
            <w:r>
              <w:t xml:space="preserve">C1</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3</w:t>
            </w:r>
          </w:p>
        </w:tc>
      </w:tr>
      <w:tr>
        <w:tc>
          <w:tcPr/>
          <w:p>
            <w:pPr>
              <w:pStyle w:val="Compact"/>
              <w:jc w:val="left"/>
            </w:pPr>
            <w:r>
              <w:t xml:space="preserve">C1</w:t>
            </w:r>
          </w:p>
        </w:tc>
        <w:tc>
          <w:tcPr/>
          <w:p>
            <w:pPr>
              <w:pStyle w:val="Compact"/>
              <w:jc w:val="left"/>
            </w:pPr>
            <w:r>
              <w:t xml:space="preserve">CS2</w:t>
            </w:r>
          </w:p>
        </w:tc>
        <w:tc>
          <w:tcPr/>
          <w:p>
            <w:pPr>
              <w:pStyle w:val="Compact"/>
              <w:jc w:val="left"/>
            </w:pPr>
            <w:r>
              <w:t xml:space="preserve">2,000</w:t>
            </w:r>
          </w:p>
        </w:tc>
        <w:tc>
          <w:tcPr/>
          <w:p>
            <w:pPr>
              <w:pStyle w:val="Compact"/>
              <w:jc w:val="left"/>
            </w:pPr>
            <w:r>
              <w:t xml:space="preserve">2</w:t>
            </w:r>
          </w:p>
        </w:tc>
      </w:tr>
      <w:tr>
        <w:tc>
          <w:tcPr/>
          <w:p>
            <w:pPr>
              <w:pStyle w:val="Compact"/>
              <w:jc w:val="left"/>
            </w:pPr>
            <w:r>
              <w:t xml:space="preserve">C2</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7</w:t>
            </w:r>
          </w:p>
        </w:tc>
      </w:tr>
    </w:tbl>
    <w:p>
      <w:pPr>
        <w:pStyle w:val="BodyText"/>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bookmarkEnd w:id="40"/>
    <w:bookmarkStart w:id="41" w:name="compiling-the-plan-into-lookup-tables"/>
    <w:p>
      <w:pPr>
        <w:pStyle w:val="Heading3"/>
      </w:pPr>
      <w:r>
        <w:t xml:space="preserve">8.1.4 Compiling the plan into lookup tables</w:t>
      </w:r>
    </w:p>
    <w:p>
      <w:pPr>
        <w:pStyle w:val="FirstParagraph"/>
      </w:pP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Structure</w:t>
            </w:r>
          </w:p>
        </w:tc>
        <w:tc>
          <w:tcPr/>
          <w:p>
            <w:pPr>
              <w:pStyle w:val="Compact"/>
              <w:jc w:val="left"/>
            </w:pPr>
            <w:r>
              <w:t xml:space="preserve">Keyed by</w:t>
            </w:r>
          </w:p>
        </w:tc>
        <w:tc>
          <w:tcPr/>
          <w:p>
            <w:pPr>
              <w:pStyle w:val="Compact"/>
              <w:jc w:val="left"/>
            </w:pPr>
            <w:r>
              <w:t xml:space="preserve">Contents</w:t>
            </w:r>
          </w:p>
        </w:tc>
      </w:tr>
      <w:tr>
        <w:tc>
          <w:tcPr/>
          <w:p>
            <w:pPr>
              <w:pStyle w:val="Compact"/>
              <w:jc w:val="left"/>
            </w:pPr>
            <w:r>
              <w:rPr>
                <w:b/>
                <w:bCs/>
              </w:rPr>
              <w:t xml:space="preserve">Model table</w:t>
            </w:r>
          </w:p>
        </w:tc>
        <w:tc>
          <w:tcPr/>
          <w:p>
            <w:pPr>
              <w:pStyle w:val="Compact"/>
              <w:jc w:val="left"/>
            </w:pPr>
            <w:r>
              <w:t xml:space="preserve">cluster × campaign</w:t>
            </w:r>
          </w:p>
        </w:tc>
        <w:tc>
          <w:tcPr/>
          <w:p>
            <w:pPr>
              <w:pStyle w:val="Compact"/>
              <w:jc w:val="left"/>
            </w:pPr>
            <w:r>
              <w:t xml:space="preserve">Targeted time slots and content categories as bit masks; planned impressions; expected clicks</w:t>
            </w:r>
          </w:p>
        </w:tc>
      </w:tr>
      <w:tr>
        <w:tc>
          <w:tcPr/>
          <w:p>
            <w:pPr>
              <w:pStyle w:val="Compact"/>
              <w:jc w:val="left"/>
            </w:pPr>
            <w:r>
              <w:rPr>
                <w:b/>
                <w:bCs/>
              </w:rPr>
              <w:t xml:space="preserve">Match table</w:t>
            </w:r>
          </w:p>
        </w:tc>
        <w:tc>
          <w:tcPr/>
          <w:p>
            <w:pPr>
              <w:pStyle w:val="Compact"/>
              <w:jc w:val="left"/>
            </w:pPr>
            <w:r>
              <w:t xml:space="preserve">subscriber</w:t>
            </w:r>
          </w:p>
        </w:tc>
        <w:tc>
          <w:tcPr/>
          <w:p>
            <w:pPr>
              <w:pStyle w:val="Compact"/>
              <w:jc w:val="left"/>
            </w:pPr>
            <w:r>
              <w:t xml:space="preserve">Campaigns this subscriber is eligible for under targeting rules</w:t>
            </w:r>
          </w:p>
        </w:tc>
      </w:tr>
      <w:tr>
        <w:tc>
          <w:tcPr/>
          <w:p>
            <w:pPr>
              <w:pStyle w:val="Compact"/>
              <w:jc w:val="left"/>
            </w:pPr>
            <w:r>
              <w:rPr>
                <w:b/>
                <w:bCs/>
              </w:rPr>
              <w:t xml:space="preserve">Cluster table</w:t>
            </w:r>
          </w:p>
        </w:tc>
        <w:tc>
          <w:tcPr/>
          <w:p>
            <w:pPr>
              <w:pStyle w:val="Compact"/>
              <w:jc w:val="left"/>
            </w:pPr>
            <w:r>
              <w:t xml:space="preserve">subscriber</w:t>
            </w:r>
          </w:p>
        </w:tc>
        <w:tc>
          <w:tcPr/>
          <w:p>
            <w:pPr>
              <w:pStyle w:val="Compact"/>
              <w:jc w:val="left"/>
            </w:pPr>
            <w:r>
              <w:t xml:space="preserve">Distance to each nearby cluster (the soft-membership weights)</w:t>
            </w:r>
          </w:p>
        </w:tc>
      </w:tr>
    </w:tbl>
    <w:p>
      <w:pPr>
        <w:pStyle w:val="BodyText"/>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bookmarkEnd w:id="41"/>
    <w:bookmarkStart w:id="45" w:name="X6b41d0bc1b6a7aa734a67750c2b9949c703d461"/>
    <w:p>
      <w:pPr>
        <w:pStyle w:val="Heading3"/>
      </w:pPr>
      <w:r>
        <w:t xml:space="preserve">8.2 The online stage: executing the plan in real time</w:t>
      </w:r>
    </w:p>
    <w:p>
      <w:pPr>
        <w:pStyle w:val="FirstParagraph"/>
      </w:pP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1778000"/>
                  <wp:effectExtent b="0" l="0" r="0" t="0"/>
                  <wp:docPr descr="" title="" id="43" name="Picture"/>
                  <a:graphic>
                    <a:graphicData uri="http://schemas.openxmlformats.org/drawingml/2006/picture">
                      <pic:pic>
                        <pic:nvPicPr>
                          <pic:cNvPr descr="file:///E:/tmp/claude/E--Projects-Submitted-MobileAd-Comverse/464e82cd-870f-4dc1-b795-92348cf1a9b8/scratchpad/figs/fig3.png" id="44" name="Picture"/>
                          <pic:cNvPicPr>
                            <a:picLocks noChangeArrowheads="1" noChangeAspect="1"/>
                          </pic:cNvPicPr>
                        </pic:nvPicPr>
                        <pic:blipFill>
                          <a:blip r:embed="rId42"/>
                          <a:stretch>
                            <a:fillRect/>
                          </a:stretch>
                        </pic:blipFill>
                        <pic:spPr bwMode="auto">
                          <a:xfrm>
                            <a:off x="0" y="0"/>
                            <a:ext cx="5334000" cy="1778000"/>
                          </a:xfrm>
                          <a:prstGeom prst="rect">
                            <a:avLst/>
                          </a:prstGeom>
                          <a:noFill/>
                          <a:ln w="9525">
                            <a:noFill/>
                            <a:headEnd/>
                            <a:tailEnd/>
                          </a:ln>
                        </pic:spPr>
                      </pic:pic>
                    </a:graphicData>
                  </a:graphic>
                </wp:inline>
              </w:drawing>
            </w:r>
          </w:p>
        </w:tc>
      </w:tr>
    </w:tbl>
    <w:p>
      <w:pPr>
        <w:pStyle w:val="ImageCaption"/>
      </w:pPr>
      <w:r>
        <w:t xml:space="preserve">Figure 3.</w:t>
      </w:r>
      <w:r>
        <w:t xml:space="preserve"> </w:t>
      </w:r>
      <w:r>
        <w:t xml:space="preserve">The closed loop. Offline analytics compiles the model and allocation plan into lookup tables; the online engine executes them per impression and streams response records back, which the next analytics cycle uses to refine clusters, probabilities, and the plan.</w:t>
      </w:r>
    </w:p>
    <w:bookmarkEnd w:id="45"/>
    <w:bookmarkStart w:id="49" w:name="the-seven-step-decision"/>
    <w:p>
      <w:pPr>
        <w:pStyle w:val="Heading3"/>
      </w:pPr>
      <w:r>
        <w:t xml:space="preserve">8.2.1 The seven-step decision</w:t>
      </w:r>
    </w:p>
    <w:p>
      <w:pPr>
        <w:pStyle w:val="Compact"/>
        <w:numPr>
          <w:ilvl w:val="0"/>
          <w:numId w:val="1003"/>
        </w:numPr>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3"/>
        </w:numPr>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3"/>
        </w:numPr>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3"/>
        </w:numPr>
      </w:pPr>
      <w:r>
        <w:rPr>
          <w:b/>
          <w:bCs/>
        </w:rPr>
        <w:t xml:space="preserve">Predict click probability per candidate</w:t>
      </w:r>
      <w:r>
        <w:t xml:space="preserve">model table</w:t>
      </w:r>
      <w:r>
        <w:t xml:space="preserve"> </w:t>
      </w:r>
      <w:r>
        <w:t xml:space="preserve">Blend cluster-level click rates with the soft-membership weights (Section 8.2.2).</w:t>
      </w:r>
    </w:p>
    <w:p>
      <w:pPr>
        <w:pStyle w:val="Compact"/>
        <w:numPr>
          <w:ilvl w:val="0"/>
          <w:numId w:val="1003"/>
        </w:numPr>
      </w:pPr>
      <w:r>
        <w:rPr>
          <w:b/>
          <w:bCs/>
        </w:rPr>
        <w:t xml:space="preserve">Compute pacing per candidate</w:t>
      </w:r>
      <w:r>
        <w:t xml:space="preserve">status table</w:t>
      </w:r>
      <w:r>
        <w:t xml:space="preserve"> </w:t>
      </w:r>
      <w:r>
        <w:t xml:space="preserve">Compare actual delivery against plan, prorated to this point in the flight (Section 8.2.3).</w:t>
      </w:r>
    </w:p>
    <w:p>
      <w:pPr>
        <w:pStyle w:val="Compact"/>
        <w:numPr>
          <w:ilvl w:val="0"/>
          <w:numId w:val="1003"/>
        </w:numPr>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3"/>
        </w:numPr>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pPr>
      <w:r>
        <w:t xml:space="preserve">Every step is a keyed lookup, a bit-mask test, or arithmetic over a handful of rows. The expensive work (clustering, probability estimation, optimization) was all paid for offline.</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755900"/>
                  <wp:effectExtent b="0" l="0" r="0" t="0"/>
                  <wp:docPr descr="" title="" id="47" name="Picture"/>
                  <a:graphic>
                    <a:graphicData uri="http://schemas.openxmlformats.org/drawingml/2006/picture">
                      <pic:pic>
                        <pic:nvPicPr>
                          <pic:cNvPr descr="file:///E:/tmp/claude/E--Projects-Submitted-MobileAd-Comverse/464e82cd-870f-4dc1-b795-92348cf1a9b8/scratchpad/figs/fig4.png" id="48" name="Picture"/>
                          <pic:cNvPicPr>
                            <a:picLocks noChangeArrowheads="1" noChangeAspect="1"/>
                          </pic:cNvPicPr>
                        </pic:nvPicPr>
                        <pic:blipFill>
                          <a:blip r:embed="rId46"/>
                          <a:stretch>
                            <a:fillRect/>
                          </a:stretch>
                        </pic:blipFill>
                        <pic:spPr bwMode="auto">
                          <a:xfrm>
                            <a:off x="0" y="0"/>
                            <a:ext cx="5334000" cy="2755900"/>
                          </a:xfrm>
                          <a:prstGeom prst="rect">
                            <a:avLst/>
                          </a:prstGeom>
                          <a:noFill/>
                          <a:ln w="9525">
                            <a:noFill/>
                            <a:headEnd/>
                            <a:tailEnd/>
                          </a:ln>
                        </pic:spPr>
                      </pic:pic>
                    </a:graphicData>
                  </a:graphic>
                </wp:inline>
              </w:drawing>
            </w:r>
          </w:p>
        </w:tc>
      </w:tr>
    </w:tbl>
    <w:p>
      <w:pPr>
        <w:pStyle w:val="ImageCaption"/>
      </w:pPr>
      <w:r>
        <w:t xml:space="preserve">Figure 4.</w:t>
      </w:r>
      <w:r>
        <w:t xml:space="preserve"> </w:t>
      </w:r>
      <w:r>
        <w:t xml:space="preserve">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bookmarkEnd w:id="49"/>
    <w:bookmarkStart w:id="50" w:name="click-prediction-by-soft-membership"/>
    <w:p>
      <w:pPr>
        <w:pStyle w:val="Heading3"/>
      </w:pPr>
      <w:r>
        <w:t xml:space="preserve">8.2.2 Click prediction by soft membership</w:t>
      </w:r>
    </w:p>
    <w:p>
      <w:pPr>
        <w:pStyle w:val="FirstParagraph"/>
      </w:pP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SourceCode"/>
      </w:pPr>
      <w:r>
        <w:rPr>
          <w:rStyle w:val="VerbatimChar"/>
        </w:rPr>
        <w:t xml:space="preserve">p(click | C1)  =  0.2 · (40 / 8,000)  +  0.8 · (60 / 10,000)  =  0.0058</w:t>
      </w:r>
    </w:p>
    <w:p>
      <w:pPr>
        <w:pStyle w:val="FirstParagraph"/>
      </w:pPr>
      <w:r>
        <w:t xml:space="preserve">Because the subscriber borrows from every cluster they resemble, the estimate is stable even for subscribers with thin personal histories, and it is computed from two table rows and four multiplications.</w:t>
      </w:r>
    </w:p>
    <w:bookmarkEnd w:id="50"/>
    <w:bookmarkStart w:id="54" w:name="pacing-planned-versus-actual"/>
    <w:p>
      <w:pPr>
        <w:pStyle w:val="Heading3"/>
      </w:pPr>
      <w:r>
        <w:t xml:space="preserve">8.2.3 Pacing: planned versus actual</w:t>
      </w:r>
    </w:p>
    <w:p>
      <w:pPr>
        <w:pStyle w:val="FirstParagraph"/>
      </w:pP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Cluster</w:t>
            </w:r>
          </w:p>
        </w:tc>
        <w:tc>
          <w:tcPr/>
          <w:p>
            <w:pPr>
              <w:pStyle w:val="Compact"/>
              <w:jc w:val="left"/>
            </w:pPr>
            <w:r>
              <w:t xml:space="preserve">Flight elapsed</w:t>
            </w:r>
          </w:p>
        </w:tc>
        <w:tc>
          <w:tcPr/>
          <w:p>
            <w:pPr>
              <w:pStyle w:val="Compact"/>
              <w:jc w:val="left"/>
            </w:pPr>
            <w:r>
              <w:t xml:space="preserve">Planned by now</w:t>
            </w:r>
          </w:p>
        </w:tc>
        <w:tc>
          <w:tcPr/>
          <w:p>
            <w:pPr>
              <w:pStyle w:val="Compact"/>
              <w:jc w:val="left"/>
            </w:pPr>
            <w:r>
              <w:t xml:space="preserve">Actual</w:t>
            </w:r>
          </w:p>
        </w:tc>
      </w:tr>
      <w:tr>
        <w:tc>
          <w:tcPr/>
          <w:p>
            <w:pPr>
              <w:pStyle w:val="Compact"/>
              <w:jc w:val="left"/>
            </w:pPr>
            <w:r>
              <w:t xml:space="preserve">L1</w:t>
            </w:r>
          </w:p>
        </w:tc>
        <w:tc>
          <w:tcPr/>
          <w:p>
            <w:pPr>
              <w:pStyle w:val="Compact"/>
              <w:jc w:val="left"/>
            </w:pPr>
            <w:r>
              <w:t xml:space="preserve">33%</w:t>
            </w:r>
          </w:p>
        </w:tc>
        <w:tc>
          <w:tcPr/>
          <w:p>
            <w:pPr>
              <w:pStyle w:val="Compact"/>
              <w:jc w:val="left"/>
            </w:pPr>
            <w:r>
              <w:t xml:space="preserve">8,000 × 0.33 = 2,640</w:t>
            </w:r>
          </w:p>
        </w:tc>
        <w:tc>
          <w:tcPr/>
          <w:p>
            <w:pPr>
              <w:pStyle w:val="Compact"/>
              <w:jc w:val="left"/>
            </w:pPr>
            <w:r>
              <w:t xml:space="preserve">2,000</w:t>
            </w:r>
          </w:p>
        </w:tc>
      </w:tr>
      <w:tr>
        <w:tc>
          <w:tcPr/>
          <w:p>
            <w:pPr>
              <w:pStyle w:val="Compact"/>
              <w:jc w:val="left"/>
            </w:pPr>
            <w:r>
              <w:t xml:space="preserve">L2</w:t>
            </w:r>
          </w:p>
        </w:tc>
        <w:tc>
          <w:tcPr/>
          <w:p>
            <w:pPr>
              <w:pStyle w:val="Compact"/>
              <w:jc w:val="left"/>
            </w:pPr>
            <w:r>
              <w:t xml:space="preserve">50%</w:t>
            </w:r>
          </w:p>
        </w:tc>
        <w:tc>
          <w:tcPr/>
          <w:p>
            <w:pPr>
              <w:pStyle w:val="Compact"/>
              <w:jc w:val="left"/>
            </w:pPr>
            <w:r>
              <w:t xml:space="preserve">10,000 × 0.50 = 5,000</w:t>
            </w:r>
          </w:p>
        </w:tc>
        <w:tc>
          <w:tcPr/>
          <w:p>
            <w:pPr>
              <w:pStyle w:val="Compact"/>
              <w:jc w:val="left"/>
            </w:pPr>
            <w:r>
              <w:t xml:space="preserve">5,100</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7,640</w:t>
            </w:r>
          </w:p>
        </w:tc>
        <w:tc>
          <w:tcPr/>
          <w:p>
            <w:pPr>
              <w:pStyle w:val="Compact"/>
              <w:jc w:val="left"/>
            </w:pPr>
            <w:r>
              <w:rPr>
                <w:b/>
                <w:bCs/>
              </w:rPr>
              <w:t xml:space="preserve">7,100</w:t>
            </w:r>
          </w:p>
        </w:tc>
      </w:tr>
    </w:tbl>
    <w:p>
      <w:pPr>
        <w:pStyle w:val="SourceCode"/>
      </w:pPr>
      <w:r>
        <w:rPr>
          <w:rStyle w:val="VerbatimChar"/>
        </w:rPr>
        <w:t xml:space="preserve">performance index  =  actual / planned-by-now  =  7,100 / 7,640  ≈  93%</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074333"/>
                  <wp:effectExtent b="0" l="0" r="0" t="0"/>
                  <wp:docPr descr="" title="" id="52" name="Picture"/>
                  <a:graphic>
                    <a:graphicData uri="http://schemas.openxmlformats.org/drawingml/2006/picture">
                      <pic:pic>
                        <pic:nvPicPr>
                          <pic:cNvPr descr="file:///E:/tmp/claude/E--Projects-Submitted-MobileAd-Comverse/464e82cd-870f-4dc1-b795-92348cf1a9b8/scratchpad/figs/fig5.png" id="53" name="Picture"/>
                          <pic:cNvPicPr>
                            <a:picLocks noChangeArrowheads="1" noChangeAspect="1"/>
                          </pic:cNvPicPr>
                        </pic:nvPicPr>
                        <pic:blipFill>
                          <a:blip r:embed="rId51"/>
                          <a:stretch>
                            <a:fillRect/>
                          </a:stretch>
                        </pic:blipFill>
                        <pic:spPr bwMode="auto">
                          <a:xfrm>
                            <a:off x="0" y="0"/>
                            <a:ext cx="5334000" cy="2074333"/>
                          </a:xfrm>
                          <a:prstGeom prst="rect">
                            <a:avLst/>
                          </a:prstGeom>
                          <a:noFill/>
                          <a:ln w="9525">
                            <a:noFill/>
                            <a:headEnd/>
                            <a:tailEnd/>
                          </a:ln>
                        </pic:spPr>
                      </pic:pic>
                    </a:graphicData>
                  </a:graphic>
                </wp:inline>
              </w:drawing>
            </w:r>
          </w:p>
        </w:tc>
      </w:tr>
    </w:tbl>
    <w:p>
      <w:pPr>
        <w:pStyle w:val="ImageCaption"/>
      </w:pPr>
      <w:r>
        <w:t xml:space="preserve">Figure 5.</w:t>
      </w:r>
      <w:r>
        <w:t xml:space="preserve"> </w:t>
      </w:r>
      <w:r>
        <w:t xml:space="preserve">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Campaign</w:t>
            </w:r>
          </w:p>
        </w:tc>
        <w:tc>
          <w:tcPr/>
          <w:p>
            <w:pPr>
              <w:pStyle w:val="Compact"/>
              <w:jc w:val="left"/>
            </w:pPr>
            <w:r>
              <w:t xml:space="preserve">Impression price</w:t>
            </w:r>
          </w:p>
        </w:tc>
        <w:tc>
          <w:tcPr/>
          <w:p>
            <w:pPr>
              <w:pStyle w:val="Compact"/>
              <w:jc w:val="left"/>
            </w:pPr>
            <w:r>
              <w:t xml:space="preserve">Click price</w:t>
            </w:r>
          </w:p>
        </w:tc>
        <w:tc>
          <w:tcPr/>
          <w:p>
            <w:pPr>
              <w:pStyle w:val="Compact"/>
              <w:jc w:val="left"/>
            </w:pPr>
            <w:r>
              <w:t xml:space="preserve">Perf. index</w:t>
            </w:r>
          </w:p>
        </w:tc>
        <w:tc>
          <w:tcPr/>
          <w:p>
            <w:pPr>
              <w:pStyle w:val="Compact"/>
              <w:jc w:val="left"/>
            </w:pPr>
            <w:r>
              <w:t xml:space="preserve">P(click)</w:t>
            </w:r>
          </w:p>
        </w:tc>
        <w:tc>
          <w:tcPr/>
          <w:p>
            <w:pPr>
              <w:pStyle w:val="Compact"/>
              <w:jc w:val="left"/>
            </w:pPr>
            <w:r>
              <w:t xml:space="preserve">Expected revenue</w:t>
            </w:r>
          </w:p>
        </w:tc>
      </w:tr>
      <w:tr>
        <w:tc>
          <w:tcPr/>
          <w:p>
            <w:pPr>
              <w:pStyle w:val="Compact"/>
              <w:jc w:val="left"/>
            </w:pPr>
            <w:r>
              <w:t xml:space="preserve">C1</w:t>
            </w:r>
          </w:p>
        </w:tc>
        <w:tc>
          <w:tcPr/>
          <w:p>
            <w:pPr>
              <w:pStyle w:val="Compact"/>
              <w:jc w:val="left"/>
            </w:pPr>
            <w:r>
              <w:t xml:space="preserve">$0.10</w:t>
            </w:r>
          </w:p>
        </w:tc>
        <w:tc>
          <w:tcPr/>
          <w:p>
            <w:pPr>
              <w:pStyle w:val="Compact"/>
              <w:jc w:val="left"/>
            </w:pPr>
            <w:r>
              <w:t xml:space="preserve">$1.00</w:t>
            </w:r>
          </w:p>
        </w:tc>
        <w:tc>
          <w:tcPr/>
          <w:p>
            <w:pPr>
              <w:pStyle w:val="Compact"/>
              <w:jc w:val="left"/>
            </w:pPr>
            <w:r>
              <w:t xml:space="preserve">55%</w:t>
            </w:r>
          </w:p>
        </w:tc>
        <w:tc>
          <w:tcPr/>
          <w:p>
            <w:pPr>
              <w:pStyle w:val="Compact"/>
              <w:jc w:val="left"/>
            </w:pPr>
            <w:r>
              <w:t xml:space="preserve">0.01</w:t>
            </w:r>
          </w:p>
        </w:tc>
        <w:tc>
          <w:tcPr/>
          <w:p>
            <w:pPr>
              <w:pStyle w:val="Compact"/>
              <w:jc w:val="left"/>
            </w:pPr>
            <w:r>
              <w:t xml:space="preserve">$0.110</w:t>
            </w:r>
          </w:p>
        </w:tc>
      </w:tr>
      <w:tr>
        <w:tc>
          <w:tcPr/>
          <w:p>
            <w:pPr>
              <w:pStyle w:val="Compact"/>
              <w:jc w:val="left"/>
            </w:pPr>
            <w:r>
              <w:t xml:space="preserve">C2</w:t>
            </w:r>
          </w:p>
        </w:tc>
        <w:tc>
          <w:tcPr/>
          <w:p>
            <w:pPr>
              <w:pStyle w:val="Compact"/>
              <w:jc w:val="left"/>
            </w:pPr>
            <w:r>
              <w:t xml:space="preserve">$0.10</w:t>
            </w:r>
          </w:p>
        </w:tc>
        <w:tc>
          <w:tcPr/>
          <w:p>
            <w:pPr>
              <w:pStyle w:val="Compact"/>
              <w:jc w:val="left"/>
            </w:pPr>
            <w:r>
              <w:t xml:space="preserve">$0.80</w:t>
            </w:r>
          </w:p>
        </w:tc>
        <w:tc>
          <w:tcPr/>
          <w:p>
            <w:pPr>
              <w:pStyle w:val="Compact"/>
              <w:jc w:val="left"/>
            </w:pPr>
            <w:r>
              <w:t xml:space="preserve">91%</w:t>
            </w:r>
          </w:p>
        </w:tc>
        <w:tc>
          <w:tcPr/>
          <w:p>
            <w:pPr>
              <w:pStyle w:val="Compact"/>
              <w:jc w:val="left"/>
            </w:pPr>
            <w:r>
              <w:t xml:space="preserve">0.03</w:t>
            </w:r>
          </w:p>
        </w:tc>
        <w:tc>
          <w:tcPr/>
          <w:p>
            <w:pPr>
              <w:pStyle w:val="Compact"/>
              <w:jc w:val="left"/>
            </w:pPr>
            <w:r>
              <w:t xml:space="preserve">$0.124</w:t>
            </w:r>
          </w:p>
        </w:tc>
      </w:tr>
      <w:tr>
        <w:tc>
          <w:tcPr/>
          <w:p>
            <w:pPr>
              <w:pStyle w:val="Compact"/>
              <w:jc w:val="left"/>
            </w:pPr>
            <w:r>
              <w:t xml:space="preserve">C3</w:t>
            </w:r>
          </w:p>
        </w:tc>
        <w:tc>
          <w:tcPr/>
          <w:p>
            <w:pPr>
              <w:pStyle w:val="Compact"/>
              <w:jc w:val="left"/>
            </w:pPr>
            <w:r>
              <w:t xml:space="preserve">$0.10</w:t>
            </w:r>
          </w:p>
        </w:tc>
        <w:tc>
          <w:tcPr/>
          <w:p>
            <w:pPr>
              <w:pStyle w:val="Compact"/>
              <w:jc w:val="left"/>
            </w:pPr>
            <w:r>
              <w:t xml:space="preserve">$1.50</w:t>
            </w:r>
          </w:p>
        </w:tc>
        <w:tc>
          <w:tcPr/>
          <w:p>
            <w:pPr>
              <w:pStyle w:val="Compact"/>
              <w:jc w:val="left"/>
            </w:pPr>
            <w:r>
              <w:t xml:space="preserve">96%</w:t>
            </w:r>
          </w:p>
        </w:tc>
        <w:tc>
          <w:tcPr/>
          <w:p>
            <w:pPr>
              <w:pStyle w:val="Compact"/>
              <w:jc w:val="left"/>
            </w:pPr>
            <w:r>
              <w:t xml:space="preserve">0.02</w:t>
            </w:r>
          </w:p>
        </w:tc>
        <w:tc>
          <w:tcPr/>
          <w:p>
            <w:pPr>
              <w:pStyle w:val="Compact"/>
              <w:jc w:val="left"/>
            </w:pPr>
            <w:r>
              <w:t xml:space="preserve">$0.130</w:t>
            </w:r>
          </w:p>
        </w:tc>
      </w:tr>
      <w:tr>
        <w:tc>
          <w:tcPr/>
          <w:p>
            <w:pPr>
              <w:pStyle w:val="Compact"/>
              <w:jc w:val="left"/>
            </w:pPr>
            <w:r>
              <w:t xml:space="preserve">C4</w:t>
            </w:r>
          </w:p>
        </w:tc>
        <w:tc>
          <w:tcPr/>
          <w:p>
            <w:pPr>
              <w:pStyle w:val="Compact"/>
              <w:jc w:val="left"/>
            </w:pPr>
            <w:r>
              <w:t xml:space="preserve">$0.10</w:t>
            </w:r>
          </w:p>
        </w:tc>
        <w:tc>
          <w:tcPr/>
          <w:p>
            <w:pPr>
              <w:pStyle w:val="Compact"/>
              <w:jc w:val="left"/>
            </w:pPr>
            <w:r>
              <w:t xml:space="preserve">$1.00</w:t>
            </w:r>
          </w:p>
        </w:tc>
        <w:tc>
          <w:tcPr/>
          <w:p>
            <w:pPr>
              <w:pStyle w:val="Compact"/>
              <w:jc w:val="left"/>
            </w:pPr>
            <w:r>
              <w:t xml:space="preserve">128%</w:t>
            </w:r>
          </w:p>
        </w:tc>
        <w:tc>
          <w:tcPr/>
          <w:p>
            <w:pPr>
              <w:pStyle w:val="Compact"/>
              <w:jc w:val="left"/>
            </w:pPr>
            <w:r>
              <w:t xml:space="preserve">0.07</w:t>
            </w:r>
          </w:p>
        </w:tc>
        <w:tc>
          <w:tcPr/>
          <w:p>
            <w:pPr>
              <w:pStyle w:val="Compact"/>
              <w:jc w:val="left"/>
            </w:pPr>
            <w:r>
              <w:t xml:space="preserve">$0.170</w:t>
            </w:r>
          </w:p>
        </w:tc>
      </w:tr>
    </w:tbl>
    <w:p>
      <w:pPr>
        <w:pStyle w:val="BodyText"/>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bookmarkEnd w:id="54"/>
    <w:bookmarkEnd w:id="55"/>
    <w:bookmarkStart w:id="56" w:name="related-work"/>
    <w:p>
      <w:pPr>
        <w:pStyle w:val="Heading2"/>
      </w:pPr>
      <w:r>
        <w:t xml:space="preserve">9</w:t>
      </w:r>
      <w:r>
        <w:t xml:space="preserve">Related work</w:t>
      </w:r>
    </w:p>
    <w:p>
      <w:pPr>
        <w:pStyle w:val="FirstParagraph"/>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5), and how to measure a plan's realized value against strong baselines without an online experiment. Budget-pacing controllers [13, 14] are the production embodiment of the adaptive alternative and correspond to the pacing loop our serving stage carries in Section 8.2. Relative to this line, our contributions are a pre-committable, falsifiable segmentation test and a public-log evaluation protocol; the architecture itself is a deployment sketch.</w:t>
      </w:r>
    </w:p>
    <w:p>
      <w:pPr>
        <w:pStyle w:val="BodyText"/>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4 applies the same discipline to allocation policies specifically, where we show single-model replay inflates lift through the plan’s own estimation noise.</w:t>
      </w:r>
    </w:p>
    <w:bookmarkEnd w:id="56"/>
    <w:bookmarkStart w:id="57" w:name="discussion"/>
    <w:p>
      <w:pPr>
        <w:pStyle w:val="Heading2"/>
      </w:pPr>
      <w:r>
        <w:t xml:space="preserve">10</w:t>
      </w:r>
      <w:r>
        <w:t xml:space="preserve">Discussion</w:t>
      </w:r>
    </w:p>
    <w:p>
      <w:pPr>
        <w:pStyle w:val="FirstParagraph"/>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57"/>
    <w:bookmarkStart w:id="58" w:name="scope-and-assumptions"/>
    <w:p>
      <w:pPr>
        <w:pStyle w:val="Heading2"/>
      </w:pPr>
      <w:r>
        <w:t xml:space="preserve">11</w:t>
      </w:r>
      <w:r>
        <w:t xml:space="preserve">Scope and assumptions</w:t>
      </w:r>
    </w:p>
    <w:p>
      <w:pPr>
        <w:pStyle w:val="FirstParagraph"/>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Section 8.1: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58"/>
    <w:bookmarkStart w:id="59" w:name="references"/>
    <w:p>
      <w:pPr>
        <w:pStyle w:val="Heading2"/>
      </w:pPr>
      <w:r>
        <w:t xml:space="preserve">References</w:t>
      </w:r>
    </w:p>
    <w:p>
      <w:pPr>
        <w:pStyle w:val="Compact"/>
        <w:numPr>
          <w:ilvl w:val="0"/>
          <w:numId w:val="1004"/>
        </w:numPr>
      </w:pPr>
      <w:r>
        <w:t xml:space="preserve">Q. Huangfu and J. A. J. Hall. Parallelizing the dual revised simplex method.</w:t>
      </w:r>
      <w:r>
        <w:t xml:space="preserve"> </w:t>
      </w:r>
      <w:r>
        <w:rPr>
          <w:i/>
          <w:iCs/>
        </w:rPr>
        <w:t xml:space="preserve">Mathematical Programming Computation</w:t>
      </w:r>
      <w:r>
        <w:t xml:space="preserve">, 10(1):119–142, 2018.</w:t>
      </w:r>
    </w:p>
    <w:p>
      <w:pPr>
        <w:pStyle w:val="Compact"/>
        <w:numPr>
          <w:ilvl w:val="0"/>
          <w:numId w:val="1004"/>
        </w:numPr>
      </w:pPr>
      <w:r>
        <w:t xml:space="preserve">Alibaba Tianchi. Ad Display/Click Data on Taobao.com. Dataset 56, tianchi.aliyun.com/dataset/56, accessed August 2026.</w:t>
      </w:r>
    </w:p>
    <w:p>
      <w:pPr>
        <w:pStyle w:val="Compact"/>
        <w:numPr>
          <w:ilvl w:val="0"/>
          <w:numId w:val="1004"/>
        </w:numPr>
      </w:pP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Compact"/>
        <w:numPr>
          <w:ilvl w:val="0"/>
          <w:numId w:val="1004"/>
        </w:numPr>
      </w:pPr>
      <w:r>
        <w:t xml:space="preserve">Avazu. Click-Through Rate Prediction. Kaggle competition, kaggle.com/c/avazu-ctr-prediction, 2014, accessed August 2026.</w:t>
      </w:r>
    </w:p>
    <w:p>
      <w:pPr>
        <w:pStyle w:val="Compact"/>
        <w:numPr>
          <w:ilvl w:val="0"/>
          <w:numId w:val="1004"/>
        </w:numPr>
      </w:pPr>
      <w:r>
        <w:t xml:space="preserve">A. Mehta. Online Matching and Ad Allocation.</w:t>
      </w:r>
      <w:r>
        <w:t xml:space="preserve"> </w:t>
      </w:r>
      <w:r>
        <w:rPr>
          <w:i/>
          <w:iCs/>
        </w:rPr>
        <w:t xml:space="preserve">Foundations and Trends in Theoretical Computer Science</w:t>
      </w:r>
      <w:r>
        <w:t xml:space="preserve">, 8(4):265–368, 2013.</w:t>
      </w:r>
    </w:p>
    <w:p>
      <w:pPr>
        <w:pStyle w:val="Compact"/>
        <w:numPr>
          <w:ilvl w:val="0"/>
          <w:numId w:val="1004"/>
        </w:numPr>
      </w:pP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Compact"/>
        <w:numPr>
          <w:ilvl w:val="0"/>
          <w:numId w:val="1004"/>
        </w:numPr>
      </w:pP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Compact"/>
        <w:numPr>
          <w:ilvl w:val="0"/>
          <w:numId w:val="1004"/>
        </w:numPr>
      </w:pP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Compact"/>
        <w:numPr>
          <w:ilvl w:val="0"/>
          <w:numId w:val="1004"/>
        </w:numPr>
      </w:pP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Compact"/>
        <w:numPr>
          <w:ilvl w:val="0"/>
          <w:numId w:val="1004"/>
        </w:numPr>
      </w:pPr>
      <w:r>
        <w:t xml:space="preserve">S. Agrawal, Z. Wang, and Y. Ye. A dynamic near-optimal algorithm for online linear programming.</w:t>
      </w:r>
      <w:r>
        <w:t xml:space="preserve"> </w:t>
      </w:r>
      <w:r>
        <w:rPr>
          <w:i/>
          <w:iCs/>
        </w:rPr>
        <w:t xml:space="preserve">Operations Research</w:t>
      </w:r>
      <w:r>
        <w:t xml:space="preserve">, 62(4):876–890, 2014.</w:t>
      </w:r>
    </w:p>
    <w:p>
      <w:pPr>
        <w:pStyle w:val="Compact"/>
        <w:numPr>
          <w:ilvl w:val="0"/>
          <w:numId w:val="1004"/>
        </w:numPr>
      </w:pP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Compact"/>
        <w:numPr>
          <w:ilvl w:val="0"/>
          <w:numId w:val="1004"/>
        </w:numPr>
      </w:pP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Compact"/>
        <w:numPr>
          <w:ilvl w:val="0"/>
          <w:numId w:val="1004"/>
        </w:numPr>
      </w:pP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Compact"/>
        <w:numPr>
          <w:ilvl w:val="0"/>
          <w:numId w:val="1004"/>
        </w:numPr>
      </w:pP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Compact"/>
        <w:numPr>
          <w:ilvl w:val="0"/>
          <w:numId w:val="1004"/>
        </w:numPr>
      </w:pP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Compact"/>
        <w:numPr>
          <w:ilvl w:val="0"/>
          <w:numId w:val="1004"/>
        </w:numPr>
      </w:pP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Compact"/>
        <w:numPr>
          <w:ilvl w:val="0"/>
          <w:numId w:val="1004"/>
        </w:numPr>
      </w:pP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Compact"/>
        <w:numPr>
          <w:ilvl w:val="0"/>
          <w:numId w:val="1004"/>
        </w:numPr>
      </w:pP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Compact"/>
        <w:numPr>
          <w:ilvl w:val="0"/>
          <w:numId w:val="1004"/>
        </w:numPr>
      </w:pP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Compact"/>
        <w:numPr>
          <w:ilvl w:val="0"/>
          <w:numId w:val="1004"/>
        </w:numPr>
      </w:pP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Compact"/>
        <w:numPr>
          <w:ilvl w:val="0"/>
          <w:numId w:val="1004"/>
        </w:numPr>
      </w:pPr>
      <w:r>
        <w:t xml:space="preserve">S. Balseiro, H. Lu, and V. Mirrokni. Dual mirror descent for online allocation problems. In</w:t>
      </w:r>
      <w:r>
        <w:t xml:space="preserve"> </w:t>
      </w:r>
      <w:r>
        <w:rPr>
          <w:i/>
          <w:iCs/>
        </w:rPr>
        <w:t xml:space="preserve">Proceedings of the 37th International Conference on Machine Learning (ICML)</w:t>
      </w:r>
      <w:r>
        <w:t xml:space="preserve">, pages 613–628, 2020.</w:t>
      </w:r>
    </w:p>
    <w:p>
      <w:pPr>
        <w:pStyle w:val="Compact"/>
        <w:numPr>
          <w:ilvl w:val="0"/>
          <w:numId w:val="1004"/>
        </w:numPr>
      </w:pPr>
      <w:r>
        <w:t xml:space="preserve">S. Balseiro, J. Feldman, V. Mirrokni, and S. Muthukrishnan. Yield optimization of display advertising with ad exchange.</w:t>
      </w:r>
      <w:r>
        <w:t xml:space="preserve"> </w:t>
      </w:r>
      <w:r>
        <w:rPr>
          <w:i/>
          <w:iCs/>
        </w:rPr>
        <w:t xml:space="preserve">Management Science</w:t>
      </w:r>
      <w:r>
        <w:t xml:space="preserve">, 60(12):2886–2907, 2014.</w:t>
      </w:r>
    </w:p>
    <w:p>
      <w:pPr>
        <w:pStyle w:val="Compact"/>
        <w:numPr>
          <w:ilvl w:val="0"/>
          <w:numId w:val="1004"/>
        </w:numPr>
      </w:pPr>
      <w:r>
        <w:t xml:space="preserve">M. Dudík, J. Langford, and L. Li. Doubly robust policy evaluation and learning. In</w:t>
      </w:r>
      <w:r>
        <w:t xml:space="preserve"> </w:t>
      </w:r>
      <w:r>
        <w:rPr>
          <w:i/>
          <w:iCs/>
        </w:rPr>
        <w:t xml:space="preserve">Proceedings of the 28th International Conference on Machine Learning (ICML)</w:t>
      </w:r>
      <w:r>
        <w:t xml:space="preserve">, pages 1097–1104, 2011.</w:t>
      </w:r>
    </w:p>
    <w:p>
      <w:pPr>
        <w:pStyle w:val="Compact"/>
        <w:numPr>
          <w:ilvl w:val="0"/>
          <w:numId w:val="1004"/>
        </w:numPr>
      </w:pPr>
      <w:r>
        <w:t xml:space="preserve">Y.-X. Wang, A. Agarwal, and M. Dudík. Optimal and adaptive off-policy evaluation in contextual bandits. In</w:t>
      </w:r>
      <w:r>
        <w:t xml:space="preserve"> </w:t>
      </w:r>
      <w:r>
        <w:rPr>
          <w:i/>
          <w:iCs/>
        </w:rPr>
        <w:t xml:space="preserve">Proceedings of the 34th International Conference on Machine Learning (ICML)</w:t>
      </w:r>
      <w:r>
        <w:t xml:space="preserve">, pages 3589–3597, 2017.</w:t>
      </w:r>
    </w:p>
    <w:p>
      <w:pPr>
        <w:pStyle w:val="FirstParagraph"/>
      </w:pPr>
      <w:r>
        <w:t xml:space="preserve">Preprint, August 2026. Code and replay harness: github.com/ApartsinProjects/optimal-impression-allocation.</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2026-08-31T12:04:03Z</dcterms:created>
  <dcterms:modified xsi:type="dcterms:W3CDTF">2026-08-31T12:04:03Z</dcterms:modified>
</cp:coreProperties>
</file>

<file path=docProps/custom.xml><?xml version="1.0" encoding="utf-8"?>
<Properties xmlns="http://schemas.openxmlformats.org/officeDocument/2006/custom-properties" xmlns:vt="http://schemas.openxmlformats.org/officeDocument/2006/docPropsVTypes"/>
</file>