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2.png" ContentType="image/png"/>
  <Override PartName="/word/media/rId47.png" ContentType="image/png"/>
  <Override PartName="/word/media/rId52.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20">
        <w:r>
          <w:rPr>
            <w:rStyle w:val="Hyperlink"/>
          </w:rPr>
          <w:t xml:space="preserve">↓ LaTeX PDF</w:t>
        </w:r>
      </w:hyperlink>
      <w:r>
        <w:t xml:space="preserve"> </w:t>
      </w:r>
      <w:hyperlink r:id="rId21">
        <w:r>
          <w:rPr>
            <w:rStyle w:val="Hyperlink"/>
          </w:rPr>
          <w:t xml:space="preserve">↓ 2-col PDF</w:t>
        </w:r>
      </w:hyperlink>
      <w:r>
        <w:t xml:space="preserve"> </w:t>
      </w:r>
      <w:hyperlink r:id="rId22">
        <w:r>
          <w:rPr>
            <w:rStyle w:val="Hyperlink"/>
          </w:rPr>
          <w:t xml:space="preserve">↓ 2-col DOCX</w:t>
        </w:r>
      </w:hyperlink>
      <w:r>
        <w:t xml:space="preserve"> </w:t>
      </w:r>
      <w:hyperlink r:id="rId23">
        <w:r>
          <w:rPr>
            <w:rStyle w:val="Hyperlink"/>
          </w:rPr>
          <w:t xml:space="preserve">↓ 1-col PDF</w:t>
        </w:r>
      </w:hyperlink>
      <w:r>
        <w:t xml:space="preserve"> </w:t>
      </w:r>
      <w:hyperlink r:id="rId24">
        <w:r>
          <w:rPr>
            <w:rStyle w:val="Hyperlink"/>
          </w:rPr>
          <w:t xml:space="preserve">↓ 1-col DOCX</w:t>
        </w:r>
      </w:hyperlink>
    </w:p>
    <w:p>
      <w:pPr>
        <w:pStyle w:val="BodyText"/>
      </w:pPr>
      <w:r>
        <w:t xml:space="preserve">Preprint</w:t>
      </w:r>
    </w:p>
    <w:bookmarkStart w:id="25" w:name="Xe0b23c8d3b07adb668ac266dbda4e510f440088"/>
    <w:p>
      <w:pPr>
        <w:pStyle w:val="Heading1"/>
      </w:pPr>
      <w:r>
        <w:t xml:space="preserve">Impression Allocation under Campaign Quotas: A Persistence Rule for Segmentation and a Regime Map for Pacing</w:t>
      </w:r>
    </w:p>
    <w:p>
      <w:pPr>
        <w:pStyle w:val="FirstParagraph"/>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5"/>
    <w:bookmarkStart w:id="26" w:name="abstract"/>
    <w:p>
      <w:pPr>
        <w:pStyle w:val="Heading2"/>
      </w:pPr>
      <w:r>
        <w:t xml:space="preserve">Abstract</w:t>
      </w:r>
    </w:p>
    <w:p>
      <w:pPr>
        <w:pStyle w:val="FirstParagraph"/>
      </w:pPr>
      <w:r>
        <w:t xml:space="preserve">A platform selling guaranteed impression quotas must decide, for each arriving user, which campaign’s booked impressions to spend, across many fine audience segments and under scarce supply. With quotas fixed, we show that only one quantity can make one allocation beat another: the campaign-by-segment</w:t>
      </w:r>
      <w:r>
        <w:t xml:space="preserve"> </w:t>
      </w:r>
      <w:r>
        <w:rPr>
          <w:i/>
          <w:iCs/>
        </w:rPr>
        <w:t xml:space="preserve">interaction</w:t>
      </w:r>
      <w:r>
        <w:t xml:space="preserve"> </w:t>
      </w:r>
      <w:r>
        <w:t xml:space="preserve">in click-through rate, what remains after campaign and segment effects wash out, and only where that interaction persists from the planning window to the serving window. This yields a rule an operator can commit to in advance: segment on the axes whose interaction persists, at the depth the per-cell data supports, then plan the allocation as a transportation program and pace by re-solving it.</w:t>
      </w:r>
    </w:p>
    <w:p>
      <w:pPr>
        <w:pStyle w:val="BodyText"/>
      </w:pPr>
      <w:r>
        <w:t xml:space="preserve">On three public advertising logs (Taobao, Avazu, Outbrain), under a replay protocol hardened against a self-scoring bias and validated on a known-truth benchmark, the rule picks the segmentation that pays, and the planned allocation beats both greedy serving and online price-learning pacing, which collapses under heavy contention. Contention sets the payoff: an uncontended market yields little to allocate, whatever the segmentation. The result is a three-step recipe: probe persistence to choose the segments, measure contention to decide whether planning is worth it, and solve, and re-solve, for the pacing prices.</w:t>
      </w:r>
    </w:p>
    <w:bookmarkEnd w:id="26"/>
    <w:bookmarkStart w:id="27"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6, its largest current instance is retail media, and the public commerce-media log we evaluate on (Taobao) comes from inside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4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pPr>
      <w:r>
        <w:t xml:space="preserve">Section 2 states the allocation program and its interaction-invariance structure. Section 3 develops the replay protocol and validates it against a known ground truth, Section 4 the persistence rule, and Section 5 the regime map with its cross-dataset and revenue-objective replications. Section 6 summarizes the reference serving architecture that motivated the study, Section 7 situates the work in the online-allocation and offline-evaluation literature, and Sections 8 and 9 close with design principles and scope. The appendix collects the worked example (A.1), the proof of Proposition 1 (A.2), the simulation calibration (A.3), the extended robustness checks (A.4), and the full serving architecture (A.5).</w:t>
      </w:r>
    </w:p>
    <w:bookmarkEnd w:id="27"/>
    <w:bookmarkStart w:id="29" w:name="formulation"/>
    <w:p>
      <w:pPr>
        <w:pStyle w:val="Heading2"/>
      </w:pPr>
      <w:r>
        <w:t xml:space="preserve">2</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2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5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8" w:name="Xb8b18ac5c60ec5742410ace98e579bc138671d3"/>
    <w:p>
      <w:pPr>
        <w:pStyle w:val="Heading3"/>
      </w:pPr>
      <w:r>
        <w:t xml:space="preserve">2.1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t xml:space="preserve">The proof is a two-line expansion of the objective and appears in Appendix A.5.</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4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5 probe, and it is why policy orderings there differ from the feasible case.</w:t>
      </w:r>
    </w:p>
    <w:bookmarkEnd w:id="28"/>
    <w:bookmarkEnd w:id="29"/>
    <w:bookmarkStart w:id="31" w:name="replay-evaluation-protocol"/>
    <w:p>
      <w:pPr>
        <w:pStyle w:val="Heading2"/>
      </w:pPr>
      <w:r>
        <w:t xml:space="preserve">3</w:t>
      </w:r>
      <w:r>
        <w:t xml:space="preserve">Replay evaluation protocol</w:t>
      </w:r>
    </w:p>
    <w:p>
      <w:pPr>
        <w:pStyle w:val="FirstParagraph"/>
      </w:pPr>
      <w:r>
        <w:t xml:space="preserve">A synthetic market controls everything (Appendix A.3);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4 and 5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A.5 (soft-membership blending, frequency caps, threshold pacing) operate below this granularity and are not exercised by these experiments.</w:t>
      </w:r>
    </w:p>
    <w:bookmarkStart w:id="30" w:name="X888dfabe7f5ac870af14768d223c176646b6318"/>
    <w:p>
      <w:pPr>
        <w:pStyle w:val="Heading3"/>
      </w:pPr>
      <w:r>
        <w:t xml:space="preserve">3.1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30"/>
    <w:bookmarkEnd w:id="31"/>
    <w:bookmarkStart w:id="32" w:name="the-persistence-rule"/>
    <w:p>
      <w:pPr>
        <w:pStyle w:val="Heading2"/>
      </w:pPr>
      <w:r>
        <w:t xml:space="preserve">4</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9 states. With that rule applied, the replayed policies capture 85–91% of the hindsight bound; the residual is the estimation noise and week-over-week drift that the pacing loop of Appendix A.5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5: contended Taobao rewards the segmentation, uncontended Outbrain does not until the demand regime is stressed.</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2"/>
    <w:bookmarkStart w:id="36" w:name="the-regime-map"/>
    <w:p>
      <w:pPr>
        <w:pStyle w:val="Heading2"/>
      </w:pPr>
      <w:r>
        <w:t xml:space="preserve">5</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92916"/>
                  <wp:effectExtent b="0" l="0" r="0" t="0"/>
                  <wp:docPr descr="" title="" id="34" name="Picture"/>
                  <a:graphic>
                    <a:graphicData uri="http://schemas.openxmlformats.org/drawingml/2006/picture">
                      <pic:pic>
                        <pic:nvPicPr>
                          <pic:cNvPr descr="file:///E:/tmp/claude/E--Projects-Submitted-MobileAd-Comverse/464e82cd-870f-4dc1-b795-92348cf1a9b8/scratchpad/figs/fig1.png" id="35" name="Picture"/>
                          <pic:cNvPicPr>
                            <a:picLocks noChangeArrowheads="1" noChangeAspect="1"/>
                          </pic:cNvPicPr>
                        </pic:nvPicPr>
                        <pic:blipFill>
                          <a:blip r:embed="rId33"/>
                          <a:stretch>
                            <a:fillRect/>
                          </a:stretch>
                        </pic:blipFill>
                        <pic:spPr bwMode="auto">
                          <a:xfrm>
                            <a:off x="0" y="0"/>
                            <a:ext cx="5334000" cy="2592916"/>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5 table). An operator reads the horizontal axis from the pre-deployment contention ratio of Algorithm 1, step 6, and the chart says when planning is worth the effort and which pacing to trust.</w:t>
      </w:r>
    </w:p>
    <w:p>
      <w:pPr>
        <w:pStyle w:val="BodyText"/>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(Figure 1).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3.1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pPr>
      <w:r>
        <w:t xml:space="preserve">A battery of robustness checks anchors the table (a user-clustered bootstrap at z = +4.55, an across-fold t-test, a first-exposure fatigue control, a support audit, and a propensity-weighted outcome bracket); none overturns the ordering, and an outcome-grounded estimate on the small logging-matched subset is inconclusive, the inherent limit of public-log evaluation. Appendix A.4 reports them in full.</w:t>
      </w:r>
    </w:p>
    <w:bookmarkEnd w:id="36"/>
    <w:bookmarkStart w:id="37" w:name="a-reference-serving-architecture"/>
    <w:p>
      <w:pPr>
        <w:pStyle w:val="Heading2"/>
      </w:pPr>
      <w:r>
        <w:t xml:space="preserve">6</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3–5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4 are a handful of aggregate behavior tiers, not individual dossiers. Not every subscriber has a profile at all: prepaid subscribers may be anonymous, which is why the clustering machinery supports membership computed from response behavior alone (Appendix A.5).</w:t>
      </w:r>
    </w:p>
    <w:p>
      <w:pPr>
        <w:pStyle w:val="BodyText"/>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A.5 gives the full design, its data structures, and the pacing rule; the experiments in this paper exercise the allocation core it compiles, not the per-subscriber serving machinery.</w:t>
      </w:r>
    </w:p>
    <w:bookmarkEnd w:id="37"/>
    <w:bookmarkStart w:id="38" w:name="related-work"/>
    <w:p>
      <w:pPr>
        <w:pStyle w:val="Heading2"/>
      </w:pPr>
      <w:r>
        <w:t xml:space="preserve">7</w:t>
      </w:r>
      <w:r>
        <w:t xml:space="preserve">Related work</w:t>
      </w:r>
    </w:p>
    <w:p>
      <w:pPr>
        <w:pStyle w:val="FirstParagraph"/>
      </w:pPr>
      <w:r>
        <w:t xml:space="preserve">The allocation machinery this paper uses, a transportation LP with dual-price pacing, is standard; its contribution sits in five places that the prior literature leaves open, summarized in the table before the discussion.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Line of work</w:t>
            </w:r>
          </w:p>
        </w:tc>
        <w:tc>
          <w:tcPr/>
          <w:p>
            <w:pPr>
              <w:pStyle w:val="Compact"/>
              <w:jc w:val="left"/>
            </w:pPr>
            <w:r>
              <w:t xml:space="preserve">Prescribes the</w:t>
            </w:r>
            <w:r>
              <w:br/>
            </w:r>
            <w:r>
              <w:t xml:space="preserve">segmentation</w:t>
            </w:r>
          </w:p>
        </w:tc>
        <w:tc>
          <w:tcPr/>
          <w:p>
            <w:pPr>
              <w:pStyle w:val="Compact"/>
              <w:jc w:val="left"/>
            </w:pPr>
            <w:r>
              <w:t xml:space="preserve">Pre-committed,</w:t>
            </w:r>
            <w:r>
              <w:br/>
            </w:r>
            <w:r>
              <w:t xml:space="preserve">blind test</w:t>
            </w:r>
          </w:p>
        </w:tc>
        <w:tc>
          <w:tcPr/>
          <w:p>
            <w:pPr>
              <w:pStyle w:val="Compact"/>
              <w:jc w:val="left"/>
            </w:pPr>
            <w:r>
              <w:t xml:space="preserve">Public-log,</w:t>
            </w:r>
            <w:r>
              <w:br/>
            </w:r>
            <w:r>
              <w:t xml:space="preserve">hardened OPE</w:t>
            </w:r>
          </w:p>
        </w:tc>
        <w:tc>
          <w:tcPr/>
          <w:p>
            <w:pPr>
              <w:pStyle w:val="Compact"/>
              <w:jc w:val="left"/>
            </w:pPr>
            <w:r>
              <w:t xml:space="preserve">Regime map</w:t>
            </w:r>
            <w:r>
              <w:br/>
            </w:r>
            <w:r>
              <w:t xml:space="preserve">(plan vs. adapt)</w:t>
            </w:r>
          </w:p>
        </w:tc>
        <w:tc>
          <w:tcPr/>
          <w:p>
            <w:pPr>
              <w:pStyle w:val="Compact"/>
              <w:jc w:val="left"/>
            </w:pPr>
            <w:r>
              <w:t xml:space="preserve">Revenue with</w:t>
            </w:r>
            <w:r>
              <w:br/>
            </w:r>
            <w:r>
              <w:t xml:space="preserve">guarantees</w:t>
            </w:r>
          </w:p>
        </w:tc>
      </w:tr>
      <w:tr>
        <w:tc>
          <w:tcPr/>
          <w:p>
            <w:pPr>
              <w:pStyle w:val="Compact"/>
              <w:jc w:val="left"/>
            </w:pPr>
            <w:r>
              <w:t xml:space="preserve">Online matching, AdWords [6, 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Random-permutation online LP [8–10]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Guaranteed display: forecasts, SHALE [11, 12]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Dual mirror descent [21]</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Yield optimization, ad exchange [22]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Budget-pacing controllers [13, 14]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rPr>
                <w:b/>
                <w:bCs/>
              </w:rPr>
              <w:t xml:space="preserve">This paper</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r>
    </w:tbl>
    <w:p>
      <w:pPr>
        <w:pStyle w:val="BodyText"/>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4), and how to measure a plan's realized value against strong baselines without an online experiment. Budget-pacing controllers [13, 14] are the production embodiment of the adaptive alternative and correspond to the pacing loop our serving stage carries in Appendix A.5.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3 applies the same discipline to allocation policies specifically, where we show single-model replay inflates lift through the plan’s own estimation noise.</w:t>
      </w:r>
    </w:p>
    <w:bookmarkEnd w:id="38"/>
    <w:bookmarkStart w:id="39" w:name="discussion"/>
    <w:p>
      <w:pPr>
        <w:pStyle w:val="Heading2"/>
      </w:pPr>
      <w:r>
        <w:t xml:space="preserve">8</w:t>
      </w:r>
      <w:r>
        <w:t xml:space="preserve">Discussion</w:t>
      </w:r>
    </w:p>
    <w:p>
      <w:pPr>
        <w:pStyle w:val="FirstParagraph"/>
      </w:pPr>
      <w:r>
        <w:t xml:space="preserve">Four design principles carry the empirical findings, persistence-chosen segments, solved prices, and a re-solve cadence, into a deployable system.</w:t>
      </w:r>
    </w:p>
    <w:p>
      <w:pPr>
        <w:pStyle w:val="BodyText"/>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39"/>
    <w:bookmarkStart w:id="40" w:name="scope-and-assumptions"/>
    <w:p>
      <w:pPr>
        <w:pStyle w:val="Heading2"/>
      </w:pPr>
      <w:r>
        <w:t xml:space="preserve">9</w:t>
      </w:r>
      <w:r>
        <w:t xml:space="preserve">Scope and assumptions</w:t>
      </w:r>
    </w:p>
    <w:p>
      <w:pPr>
        <w:pStyle w:val="FirstParagraph"/>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4),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A.5: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40"/>
    <w:bookmarkStart w:id="41" w:name="references"/>
    <w:p>
      <w:pPr>
        <w:pStyle w:val="Heading2"/>
      </w:pPr>
      <w:r>
        <w:t xml:space="preserve">References</w:t>
      </w:r>
    </w:p>
    <w:p>
      <w:pPr>
        <w:pStyle w:val="Compact"/>
        <w:numPr>
          <w:ilvl w:val="0"/>
          <w:numId w:val="1002"/>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2"/>
        </w:numPr>
      </w:pPr>
      <w:r>
        <w:t xml:space="preserve">Alibaba Tianchi. Ad Display/Click Data on Taobao.com. Dataset 56, tianchi.aliyun.com/dataset/56, accessed August 2026.</w:t>
      </w:r>
    </w:p>
    <w:p>
      <w:pPr>
        <w:pStyle w:val="Compact"/>
        <w:numPr>
          <w:ilvl w:val="0"/>
          <w:numId w:val="1002"/>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2"/>
        </w:numPr>
      </w:pPr>
      <w:r>
        <w:t xml:space="preserve">Avazu. Click-Through Rate Prediction. Kaggle competition, kaggle.com/c/avazu-ctr-prediction, 2014, accessed August 2026.</w:t>
      </w:r>
    </w:p>
    <w:p>
      <w:pPr>
        <w:pStyle w:val="Compact"/>
        <w:numPr>
          <w:ilvl w:val="0"/>
          <w:numId w:val="1002"/>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2"/>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2"/>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2"/>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2"/>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2"/>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2"/>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2"/>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2"/>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2"/>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2"/>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2"/>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2"/>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2"/>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2"/>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2"/>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2"/>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2"/>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2"/>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2"/>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bookmarkEnd w:id="41"/>
    <w:bookmarkStart w:id="62" w:name="appendix"/>
    <w:p>
      <w:pPr>
        <w:pStyle w:val="Heading2"/>
      </w:pPr>
      <w:r>
        <w:t xml:space="preserve">Appendix</w:t>
      </w:r>
    </w:p>
    <w:bookmarkStart w:id="45" w:name="Xf4ae4abe95e7ae1cb80a4c23dcfb8a20e4835ff"/>
    <w:p>
      <w:pPr>
        <w:pStyle w:val="Heading3"/>
      </w:pPr>
      <w:r>
        <w:t xml:space="preserve">A.1 Worked example: the cost of greedy serving</w:t>
      </w:r>
    </w:p>
    <w:p>
      <w:pPr>
        <w:pStyle w:val="FirstParagraph"/>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43" name="Picture"/>
                  <a:graphic>
                    <a:graphicData uri="http://schemas.openxmlformats.org/drawingml/2006/picture">
                      <pic:pic>
                        <pic:nvPicPr>
                          <pic:cNvPr descr="file:///E:/tmp/claude/E--Projects-Submitted-MobileAd-Comverse/464e82cd-870f-4dc1-b795-92348cf1a9b8/scratchpad/figs/fig2.png" id="44" name="Picture"/>
                          <pic:cNvPicPr>
                            <a:picLocks noChangeArrowheads="1" noChangeAspect="1"/>
                          </pic:cNvPicPr>
                        </pic:nvPicPr>
                        <pic:blipFill>
                          <a:blip r:embed="rId42"/>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45"/>
    <w:bookmarkStart w:id="46" w:name="a.2-proof-of-interaction-invariance"/>
    <w:p>
      <w:pPr>
        <w:pStyle w:val="Heading3"/>
      </w:pPr>
      <w:r>
        <w:t xml:space="preserve">A.2 Proof of interaction invariance</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bookmarkEnd w:id="46"/>
    <w:bookmarkStart w:id="50" w:name="a.3-simulation-as-calibration"/>
    <w:p>
      <w:pPr>
        <w:pStyle w:val="Heading3"/>
      </w:pPr>
      <w:r>
        <w:t xml:space="preserve">A.3 Simulation as calibration</w:t>
      </w:r>
    </w:p>
    <w:p>
      <w:pPr>
        <w:pStyle w:val="FirstParagraph"/>
      </w:pPr>
      <w:r>
        <w:t xml:space="preserve">The regime map of Section 5 was measured by a replay harness; this section calibrates that harness on a fully synthetic market where ground truth is known and every quantity is controlled. The four-subscriber example of Appendix A.1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2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48" name="Picture"/>
                  <a:graphic>
                    <a:graphicData uri="http://schemas.openxmlformats.org/drawingml/2006/picture">
                      <pic:pic>
                        <pic:nvPicPr>
                          <pic:cNvPr descr="file:///E:/tmp/claude/E--Projects-Submitted-MobileAd-Comverse/464e82cd-870f-4dc1-b795-92348cf1a9b8/scratchpad/figs/fig3.png" id="49" name="Picture"/>
                          <pic:cNvPicPr>
                            <a:picLocks noChangeArrowheads="1" noChangeAspect="1"/>
                          </pic:cNvPicPr>
                        </pic:nvPicPr>
                        <pic:blipFill>
                          <a:blip r:embed="rId47"/>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A.5’s pacing mechanism and the refinement loop exist to absorb.</w:t>
      </w:r>
    </w:p>
    <w:bookmarkEnd w:id="50"/>
    <w:bookmarkStart w:id="51" w:name="a.4-extended-robustness-checks"/>
    <w:p>
      <w:pPr>
        <w:pStyle w:val="Heading3"/>
      </w:pPr>
      <w:r>
        <w:t xml:space="preserve">A.4 Extended robustness checks</w:t>
      </w:r>
    </w:p>
    <w:p>
      <w:pPr>
        <w:pStyle w:val="FirstParagraph"/>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51"/>
    <w:bookmarkStart w:id="61" w:name="a.5-reference-serving-architecture"/>
    <w:p>
      <w:pPr>
        <w:pStyle w:val="Heading3"/>
      </w:pPr>
      <w:r>
        <w:t xml:space="preserve">A.5 Reference serving architecture</w:t>
      </w:r>
    </w:p>
    <w:p>
      <w:pPr>
        <w:pStyle w:val="FirstParagraph"/>
      </w:pPr>
      <w:r>
        <w:t xml:space="preserve">This appendix gives the full deployment design summarized in Section 6: the offline stage that compiles the plan and the online stage that executes it per impression. It is a design sketch; the experiments of Sections 3–5 validate the allocation core it compiles, not the per-subscriber serving machinery detailed here.</w:t>
      </w:r>
    </w:p>
    <w:p>
      <w:pPr>
        <w:pStyle w:val="BodyText"/>
      </w:pPr>
      <w:r>
        <w:rPr>
          <w:b/>
          <w:bCs/>
        </w:rPr>
        <w:t xml:space="preserve">offline stage: learning the inputs to the plan.</w:t>
      </w:r>
      <w:r>
        <w:t xml:space="preserve"> </w:t>
      </w: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3"/>
        </w:numPr>
      </w:pPr>
      <w:r>
        <w:t xml:space="preserve">The distribution of (context, profile) pairs observed in the past will recur in the future.</w:t>
      </w:r>
    </w:p>
    <w:p>
      <w:pPr>
        <w:pStyle w:val="Compact"/>
        <w:numPr>
          <w:ilvl w:val="0"/>
          <w:numId w:val="1003"/>
        </w:numPr>
      </w:pPr>
      <w:r>
        <w:t xml:space="preserve">Subscribers who responded similarly under similar conditions will continue to respond similarly.</w:t>
      </w:r>
    </w:p>
    <w:p>
      <w:pPr>
        <w:pStyle w:val="Compact"/>
        <w:numPr>
          <w:ilvl w:val="0"/>
          <w:numId w:val="1003"/>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p>
      <w:pPr>
        <w:pStyle w:val="BodyText"/>
      </w:pPr>
      <w:r>
        <w:rPr>
          <w:b/>
          <w:bCs/>
        </w:rPr>
        <w:t xml:space="preserve">records.</w:t>
      </w:r>
      <w:r>
        <w:t xml:space="preserve"> </w:t>
      </w: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p>
      <w:pPr>
        <w:pStyle w:val="BodyText"/>
      </w:pPr>
      <w:r>
        <w:rPr>
          <w:b/>
          <w:bCs/>
        </w:rPr>
        <w:t xml:space="preserve">and clustering.</w:t>
      </w:r>
      <w:r>
        <w:t xml:space="preserve"> </w:t>
      </w: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A.5), so predictions blend the behavior of every cluster the subscriber resembles.</w:t>
      </w:r>
    </w:p>
    <w:p>
      <w:pPr>
        <w:pStyle w:val="BodyText"/>
      </w:pPr>
      <w:r>
        <w:rPr>
          <w:b/>
          <w:bCs/>
        </w:rPr>
        <w:t xml:space="preserve">representation and click estimation.</w:t>
      </w:r>
      <w:r>
        <w:t xml:space="preserve"> </w:t>
      </w: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p>
      <w:pPr>
        <w:pStyle w:val="BodyText"/>
      </w:pPr>
      <w:r>
        <w:rPr>
          <w:b/>
          <w:bCs/>
        </w:rPr>
        <w:t xml:space="preserve">the plan into lookup tables.</w:t>
      </w:r>
      <w:r>
        <w:t xml:space="preserve"> </w:t>
      </w: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p>
      <w:pPr>
        <w:pStyle w:val="BodyText"/>
      </w:pPr>
      <w:r>
        <w:rPr>
          <w:b/>
          <w:bCs/>
        </w:rPr>
        <w:t xml:space="preserve">online stage: executing the plan in real time.</w:t>
      </w:r>
      <w:r>
        <w:t xml:space="preserve"> </w:t>
      </w: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53" name="Picture"/>
                  <a:graphic>
                    <a:graphicData uri="http://schemas.openxmlformats.org/drawingml/2006/picture">
                      <pic:pic>
                        <pic:nvPicPr>
                          <pic:cNvPr descr="file:///E:/tmp/claude/E--Projects-Submitted-MobileAd-Comverse/464e82cd-870f-4dc1-b795-92348cf1a9b8/scratchpad/figs/fig4.png" id="54" name="Picture"/>
                          <pic:cNvPicPr>
                            <a:picLocks noChangeArrowheads="1" noChangeAspect="1"/>
                          </pic:cNvPicPr>
                        </pic:nvPicPr>
                        <pic:blipFill>
                          <a:blip r:embed="rId52"/>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p>
      <w:pPr>
        <w:pStyle w:val="BodyText"/>
      </w:pPr>
      <w:r>
        <w:rPr>
          <w:b/>
          <w:bCs/>
        </w:rPr>
        <w:t xml:space="preserve">The seven-step decision.</w:t>
      </w:r>
    </w:p>
    <w:p>
      <w:pPr>
        <w:pStyle w:val="Compact"/>
        <w:numPr>
          <w:ilvl w:val="0"/>
          <w:numId w:val="1004"/>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4"/>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4"/>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4"/>
        </w:numPr>
      </w:pPr>
      <w:r>
        <w:rPr>
          <w:b/>
          <w:bCs/>
        </w:rPr>
        <w:t xml:space="preserve">Predict click probability per candidate</w:t>
      </w:r>
      <w:r>
        <w:t xml:space="preserve">model table</w:t>
      </w:r>
      <w:r>
        <w:t xml:space="preserve"> </w:t>
      </w:r>
      <w:r>
        <w:t xml:space="preserve">Blend cluster-level click rates with the soft-membership weights (Appendix A.5).</w:t>
      </w:r>
    </w:p>
    <w:p>
      <w:pPr>
        <w:pStyle w:val="Compact"/>
        <w:numPr>
          <w:ilvl w:val="0"/>
          <w:numId w:val="1004"/>
        </w:numPr>
      </w:pPr>
      <w:r>
        <w:rPr>
          <w:b/>
          <w:bCs/>
        </w:rPr>
        <w:t xml:space="preserve">Compute pacing per candidate</w:t>
      </w:r>
      <w:r>
        <w:t xml:space="preserve">status table</w:t>
      </w:r>
      <w:r>
        <w:t xml:space="preserve"> </w:t>
      </w:r>
      <w:r>
        <w:t xml:space="preserve">Compare actual delivery against plan, prorated to this point in the flight (Appendix A.5).</w:t>
      </w:r>
    </w:p>
    <w:p>
      <w:pPr>
        <w:pStyle w:val="Compact"/>
        <w:numPr>
          <w:ilvl w:val="0"/>
          <w:numId w:val="1004"/>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4"/>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56" name="Picture"/>
                  <a:graphic>
                    <a:graphicData uri="http://schemas.openxmlformats.org/drawingml/2006/picture">
                      <pic:pic>
                        <pic:nvPicPr>
                          <pic:cNvPr descr="file:///E:/tmp/claude/E--Projects-Submitted-MobileAd-Comverse/464e82cd-870f-4dc1-b795-92348cf1a9b8/scratchpad/figs/fig5.png" id="57" name="Picture"/>
                          <pic:cNvPicPr>
                            <a:picLocks noChangeArrowheads="1" noChangeAspect="1"/>
                          </pic:cNvPicPr>
                        </pic:nvPicPr>
                        <pic:blipFill>
                          <a:blip r:embed="rId55"/>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p>
      <w:pPr>
        <w:pStyle w:val="BodyText"/>
      </w:pPr>
      <w:r>
        <w:rPr>
          <w:b/>
          <w:bCs/>
        </w:rPr>
        <w:t xml:space="preserve">prediction by soft membership.</w:t>
      </w:r>
      <w:r>
        <w:t xml:space="preserve"> </w:t>
      </w: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p>
      <w:pPr>
        <w:pStyle w:val="BodyText"/>
      </w:pPr>
      <w:r>
        <w:rPr>
          <w:b/>
          <w:bCs/>
        </w:rPr>
        <w:t xml:space="preserve">Pacing: planned versus actual.</w:t>
      </w:r>
      <w:r>
        <w:t xml:space="preserve"> </w:t>
      </w: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9" name="Picture"/>
                  <a:graphic>
                    <a:graphicData uri="http://schemas.openxmlformats.org/drawingml/2006/picture">
                      <pic:pic>
                        <pic:nvPicPr>
                          <pic:cNvPr descr="file:///E:/tmp/claude/E--Projects-Submitted-MobileAd-Comverse/464e82cd-870f-4dc1-b795-92348cf1a9b8/scratchpad/figs/fig6.png" id="60" name="Picture"/>
                          <pic:cNvPicPr>
                            <a:picLocks noChangeArrowheads="1" noChangeAspect="1"/>
                          </pic:cNvPicPr>
                        </pic:nvPicPr>
                        <pic:blipFill>
                          <a:blip r:embed="rId58"/>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6.</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p>
      <w:pPr>
        <w:pStyle w:val="BodyText"/>
      </w:pPr>
      <w:r>
        <w:t xml:space="preserve">Preprint, August 2026. Code and replay harness: github.com/ApartsinProjects/optimal-impression-allocation.</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24" Target="https://apartsinprojects.github.io/optimal-impression-allocation/paper_1col.docx" TargetMode="External" /><Relationship Type="http://schemas.openxmlformats.org/officeDocument/2006/relationships/hyperlink" Id="rId23" Target="https://apartsinprojects.github.io/optimal-impression-allocation/paper_1col.pdf" TargetMode="External" /><Relationship Type="http://schemas.openxmlformats.org/officeDocument/2006/relationships/hyperlink" Id="rId22" Target="https://apartsinprojects.github.io/optimal-impression-allocation/paper_2col.docx" TargetMode="External" /><Relationship Type="http://schemas.openxmlformats.org/officeDocument/2006/relationships/hyperlink" Id="rId21" Target="https://apartsinprojects.github.io/optimal-impression-allocation/paper_2col.pdf" TargetMode="External" /><Relationship Type="http://schemas.openxmlformats.org/officeDocument/2006/relationships/hyperlink" Id="rId20" Target="https://apartsinprojects.github.io/optimal-impression-allocation/paper_latex.pdf" TargetMode="External" /></Relationships>
</file>

<file path=word/_rels/footnotes.xml.rels><?xml version="1.0" encoding="UTF-8"?><Relationships xmlns="http://schemas.openxmlformats.org/package/2006/relationships"><Relationship Type="http://schemas.openxmlformats.org/officeDocument/2006/relationships/hyperlink" Id="rId24" Target="https://apartsinprojects.github.io/optimal-impression-allocation/paper_1col.docx" TargetMode="External" /><Relationship Type="http://schemas.openxmlformats.org/officeDocument/2006/relationships/hyperlink" Id="rId23" Target="https://apartsinprojects.github.io/optimal-impression-allocation/paper_1col.pdf" TargetMode="External" /><Relationship Type="http://schemas.openxmlformats.org/officeDocument/2006/relationships/hyperlink" Id="rId22" Target="https://apartsinprojects.github.io/optimal-impression-allocation/paper_2col.docx" TargetMode="External" /><Relationship Type="http://schemas.openxmlformats.org/officeDocument/2006/relationships/hyperlink" Id="rId21" Target="https://apartsinprojects.github.io/optimal-impression-allocation/paper_2col.pdf" TargetMode="External" /><Relationship Type="http://schemas.openxmlformats.org/officeDocument/2006/relationships/hyperlink" Id="rId20" Target="https://apartsinprojects.github.io/optimal-impression-allocation/paper_latex.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2026-09-01T17:45:32Z</dcterms:created>
  <dcterms:modified xsi:type="dcterms:W3CDTF">2026-09-01T17:45:32Z</dcterms:modified>
</cp:coreProperties>
</file>

<file path=docProps/custom.xml><?xml version="1.0" encoding="utf-8"?>
<Properties xmlns="http://schemas.openxmlformats.org/officeDocument/2006/custom-properties" xmlns:vt="http://schemas.openxmlformats.org/officeDocument/2006/docPropsVTypes"/>
</file>