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Xe0b23c8d3b07adb668ac266dbda4e510f440088"/>
    <w:p>
      <w:pPr>
        <w:pStyle w:val="Title"/>
        <w:spacing w:before="0" w:after="160"/>
        <w:jc w:val="center"/>
        <w:keepNext/>
        <w:keepLines/>
        <w:widowControl w:val="1"/>
      </w:pPr>
      <w:r>
        <w:t xml:space="preserve">Impression Allocation under Campaign Quotas: A Persistence Rule for Segmentation and a Regime Map for Pacing</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r>
              <w:rPr>
                <w:rFonts w:ascii="Georgia" w:hAnsi="Georgia"/>
                <w:b/>
                <w:i w:val="0"/>
                <w:sz w:val="24"/>
                <w:vertAlign w:val="superscript"/>
              </w:rPr>
              <w:t>1</w:t>
            </w:r>
            <w:r>
              <w:rPr>
                <w:rFonts w:ascii="Georgia" w:hAnsi="Georgia"/>
                <w:b/>
                <w:i w:val="0"/>
                <w:sz w:val="24"/>
              </w:rPr>
              <w:t xml:space="preserve"> · Yehudit Aperstein</w:t>
            </w:r>
            <w:r>
              <w:rPr>
                <w:rFonts w:ascii="Georgia" w:hAnsi="Georgia"/>
                <w:b/>
                <w:i w:val="0"/>
                <w:sz w:val="24"/>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vertAlign w:val="superscript"/>
              </w:rPr>
              <w:t>1</w:t>
            </w:r>
            <w:r>
              <w:rPr>
                <w:rFonts w:ascii="Georgia" w:hAnsi="Georgia"/>
                <w:b w:val="0"/>
                <w:i/>
                <w:sz w:val="20"/>
              </w:rPr>
              <w:t>School of Computer Science, Faculty of Sciences, Holon Institute of Technology (HIT), Holon, Israel</w:t>
            </w:r>
            <w:r>
              <w:rPr>
                <w:rFonts w:ascii="Georgia" w:hAnsi="Georgia"/>
                <w:b w:val="0"/>
                <w:i/>
                <w:sz w:val="20"/>
                <w:vertAlign w:val="superscript"/>
              </w:rPr>
              <w:t>2</w:t>
            </w:r>
            <w:r>
              <w:rPr>
                <w:rFonts w:ascii="Georgia" w:hAnsi="Georgia"/>
                <w:b w:val="0"/>
                <w:i/>
                <w:sz w:val="20"/>
              </w:rPr>
              <w:t>Intelligent Systems, Afeka Academic College of Engineering, Tel-Aviv,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 platform selling guaranteed impression quotas must decide, for each arriving user, which campaign’s booked impressions to spend, across many fine audience segments and under scarce supply. With quotas fixed, we show that only one quantity can make one allocation beat another: the campaign-by-segment</w:t>
      </w:r>
      <w:r>
        <w:t xml:space="preserve"> </w:t>
      </w:r>
      <w:r>
        <w:rPr>
          <w:i/>
          <w:iCs/>
        </w:rPr>
        <w:t xml:space="preserve">interaction</w:t>
      </w:r>
      <w:r>
        <w:t xml:space="preserve"> </w:t>
      </w:r>
      <w:r>
        <w:t xml:space="preserve">in click-through rate, what remains after campaign and segment effects wash out, and only where that interaction persists from the planning window to the serving window. This yields a rule an operator can commit to in advance: segment on the axes whose interaction persists, at the depth the per-cell data supports, then plan the allocation as a transportation program and pace by re-solving it.</w:t>
      </w:r>
    </w:p>
    <w:p>
      <w:pPr>
        <w:pStyle w:val="BodyText"/>
        <w:ind w:left="720" w:right="720" w:firstLine="0"/>
        <w:jc w:val="both"/>
        <w:keepNext w:val="0"/>
        <w:keepLines w:val="0"/>
        <w:widowControl w:val="1"/>
      </w:pPr>
      <w:r>
        <w:t xml:space="preserve">On three public advertising logs (Taobao, Avazu, Outbrain), under a replay protocol hardened against a self-scoring bias and validated on a known-truth benchmark, the rule picks the segmentation that pays, and the planned allocation beats both greedy serving and online price-learning pacing, which collapses under heavy contention. Contention sets the payoff: an uncontended market yields little to allocate, whatever the segmentation. The result is a three-step recipe: probe persistence to choose the segments, measure contention to decide whether planning is worth it, and solve, and re-solve, for the pacing prices.</w:t>
      </w: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6,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4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states the allocation program and its interaction-invariance structure. Section 3 develops the replay protocol and validates it against a known ground truth, Section 4 the persistence rule, and Section 5 the regime map with its cross-dataset and revenue-objective replications. Section 6 summarizes the reference serving architecture that motivated the study, Section 7 situates the work in the online-allocation and offline-evaluation literature, and Sections 8 and 9 close with design principles and scope. The appendix collects the worked example (A.1), the proof of Proposition 1 (A.2), the simulation calibration (A.3), the extended robustness checks (A.4), and the full serving architecture (A.5).</w:t>
      </w:r>
    </w:p>
    <w:bookmarkEnd w:id="11"/>
    <w:bookmarkStart w:id="13" w:name="formulation"/>
    <w:p>
      <w:pPr>
        <w:pStyle w:val="Heading2"/>
        <w:keepNext/>
        <w:keepLines/>
        <w:widowControl w:val="1"/>
      </w:pPr>
      <w:r>
        <w:t xml:space="preserve">2</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2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5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2" w:name="Xb8b18ac5c60ec5742410ace98e579bc138671d3"/>
    <w:p>
      <w:pPr>
        <w:pStyle w:val="Heading3"/>
        <w:keepNext/>
        <w:keepLines/>
        <w:widowControl w:val="1"/>
      </w:pPr>
      <w:r>
        <w:t xml:space="preserve">2.1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t xml:space="preserve">The proof is a two-line expansion of the objective and appears in Appendix A.5.</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4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5 probe, and it is why policy orderings there differ from the feasible case.</w:t>
      </w:r>
    </w:p>
    <w:bookmarkEnd w:id="12"/>
    <w:bookmarkEnd w:id="13"/>
    <w:bookmarkStart w:id="15" w:name="replay-evaluation-protocol"/>
    <w:p>
      <w:pPr>
        <w:pStyle w:val="Heading2"/>
        <w:keepNext/>
        <w:keepLines/>
        <w:widowControl w:val="1"/>
      </w:pPr>
      <w:r>
        <w:t xml:space="preserve">3</w:t>
      </w:r>
      <w:r>
        <w:t xml:space="preserve"> </w:t>
      </w:r>
      <w:r>
        <w:t xml:space="preserve">Replay evaluation protocol</w:t>
      </w:r>
    </w:p>
    <w:p>
      <w:pPr>
        <w:pStyle w:val="FirstParagraph"/>
        <w:jc w:val="both"/>
        <w:keepNext w:val="0"/>
        <w:keepLines w:val="0"/>
        <w:widowControl w:val="1"/>
      </w:pPr>
      <w:r>
        <w:t xml:space="preserve">A synthetic market controls everything (Appendix A.3);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4 and 5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A.5 (soft-membership blending, frequency caps, threshold pacing) operate below this granularity and are not exercised by these experiments.</w:t>
      </w:r>
    </w:p>
    <w:bookmarkStart w:id="14" w:name="X888dfabe7f5ac870af14768d223c176646b6318"/>
    <w:p>
      <w:pPr>
        <w:pStyle w:val="Heading3"/>
        <w:keepNext/>
        <w:keepLines/>
        <w:widowControl w:val="1"/>
      </w:pPr>
      <w:r>
        <w:t xml:space="preserve">3.1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4"/>
    <w:bookmarkEnd w:id="15"/>
    <w:bookmarkStart w:id="16" w:name="the-persistence-rule"/>
    <w:p>
      <w:pPr>
        <w:pStyle w:val="Heading2"/>
        <w:keepNext/>
        <w:keepLines/>
        <w:widowControl w:val="1"/>
      </w:pPr>
      <w:r>
        <w:t xml:space="preserve">4</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pStyle w:val="BodyText"/>
        <w:spacing w:before="240"/>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pStyle w:val="BodyText"/>
        <w:spacing w:before="240"/>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9 states. With that rule applied, the replayed policies capture 85–91% of the hindsight bound; the residual is the estimation noise and week-over-week drift that the pacing loop of Appendix A.5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5: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16"/>
    <w:bookmarkStart w:id="20" w:name="the-regime-map"/>
    <w:p>
      <w:pPr>
        <w:pStyle w:val="Heading2"/>
        <w:keepNext/>
        <w:keepLines/>
        <w:widowControl w:val="1"/>
      </w:pPr>
      <w:r>
        <w:t xml:space="preserve">5</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1" title="" id="18" name="Picture"/>
                  <a:graphic>
                    <a:graphicData uri="http://schemas.openxmlformats.org/drawingml/2006/picture">
                      <pic:pic>
                        <pic:nvPicPr>
                          <pic:cNvPr descr="figs2col/fig1.png" id="19" name="Picture"/>
                          <pic:cNvPicPr>
                            <a:picLocks noChangeArrowheads="1" noChangeAspect="1"/>
                          </pic:cNvPicPr>
                        </pic:nvPicPr>
                        <pic:blipFill>
                          <a:blip r:embed="rId17"/>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5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1).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3.1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A battery of robustness checks anchors the table (a user-clustered bootstrap at z = +4.55, an across-fold t-test, a first-exposure fatigue control, a support audit, and a propensity-weighted outcome bracket); none overturns the ordering, and an outcome-grounded estimate on the small logging-matched subset is inconclusive, the inherent limit of public-log evaluation. Appendix A.4 reports them in full.</w:t>
      </w:r>
    </w:p>
    <w:bookmarkEnd w:id="20"/>
    <w:bookmarkStart w:id="21" w:name="a-reference-serving-architecture"/>
    <w:p>
      <w:pPr>
        <w:pStyle w:val="Heading2"/>
        <w:keepNext/>
        <w:keepLines/>
        <w:widowControl w:val="1"/>
      </w:pPr>
      <w:r>
        <w:t xml:space="preserve">6</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3–5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pStyle w:val="BodyText"/>
        <w:spacing w:before="240"/>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4 are a handful of aggregate behavior tiers, not individual dossiers. Not every subscriber has a profile at all: prepaid subscribers may be anonymous, which is why the clustering machinery supports membership computed from response behavior alone (Appendix A.5).</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A.5 gives the full design, its data structures, and the pacing rule; the experiments in this paper exercise the allocation core it compiles, not the per-subscriber serving machinery.</w:t>
      </w:r>
    </w:p>
    <w:bookmarkEnd w:id="21"/>
    <w:bookmarkStart w:id="22" w:name="related-work"/>
    <w:p>
      <w:pPr>
        <w:pStyle w:val="Heading2"/>
        <w:keepNext/>
        <w:keepLines/>
        <w:widowControl w:val="1"/>
      </w:pPr>
      <w:r>
        <w:t xml:space="preserve">7</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pStyle w:val="BodyText"/>
        <w:spacing w:before="240"/>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4), and how to measure a plan's realized value against strong baselines without an online experiment. Budget-pacing controllers [13, 14] are the production embodiment of the adaptive alternative and correspond to the pacing loop our serving stage carries in Appendix A.5.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3 applies the same discipline to allocation policies specifically, where we show single-model replay inflates lift through the plan’s own estimation noise.</w:t>
      </w:r>
    </w:p>
    <w:bookmarkEnd w:id="22"/>
    <w:bookmarkStart w:id="23" w:name="discussion"/>
    <w:p>
      <w:pPr>
        <w:pStyle w:val="Heading2"/>
        <w:keepNext/>
        <w:keepLines/>
        <w:widowControl w:val="1"/>
      </w:pPr>
      <w:r>
        <w:t xml:space="preserve">8</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23"/>
    <w:bookmarkStart w:id="24" w:name="scope-and-assumptions"/>
    <w:p>
      <w:pPr>
        <w:pStyle w:val="Heading2"/>
        <w:keepNext/>
        <w:keepLines/>
        <w:widowControl w:val="1"/>
      </w:pPr>
      <w:r>
        <w:t xml:space="preserve">9</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4),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A.5: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24"/>
    <w:bookmarkStart w:id="2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20"/>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20"/>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20"/>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20"/>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20"/>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20"/>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20"/>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20"/>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20"/>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20"/>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20"/>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20"/>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20"/>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20"/>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20"/>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20"/>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20"/>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20"/>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20"/>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20"/>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20"/>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20"/>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20"/>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bookmarkEnd w:id="25"/>
    <w:bookmarkStart w:id="46" w:name="appendix"/>
    <w:p>
      <w:pPr>
        <w:pStyle w:val="Heading2"/>
        <w:keepNext/>
        <w:keepLines/>
        <w:widowControl w:val="1"/>
      </w:pPr>
      <w:r>
        <w:t xml:space="preserve">Appendix</w:t>
      </w:r>
    </w:p>
    <w:bookmarkStart w:id="29" w:name="Xf4ae4abe95e7ae1cb80a4c23dcfb8a20e4835ff"/>
    <w:p>
      <w:pPr>
        <w:pStyle w:val="Heading3"/>
        <w:keepNext/>
        <w:keepLines/>
        <w:widowControl w:val="1"/>
      </w:pPr>
      <w:r>
        <w:t xml:space="preserve">A.1 Worked example: the cost of greedy serving</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pStyle w:val="BodyText"/>
        <w:spacing w:before="240"/>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2" title="" id="27" name="Picture"/>
                  <a:graphic>
                    <a:graphicData uri="http://schemas.openxmlformats.org/drawingml/2006/picture">
                      <pic:pic>
                        <pic:nvPicPr>
                          <pic:cNvPr descr="figs2col/fig2.png" id="28" name="Picture"/>
                          <pic:cNvPicPr>
                            <a:picLocks noChangeArrowheads="1" noChangeAspect="1"/>
                          </pic:cNvPicPr>
                        </pic:nvPicPr>
                        <pic:blipFill>
                          <a:blip r:embed="rId26"/>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9"/>
    <w:bookmarkStart w:id="30" w:name="a.2-proof-of-interaction-invariance"/>
    <w:p>
      <w:pPr>
        <w:pStyle w:val="Heading3"/>
        <w:keepNext/>
        <w:keepLines/>
        <w:widowControl w:val="1"/>
      </w:pPr>
      <w:r>
        <w:t xml:space="preserve">A.2 Proof of interaction invariance</w:t>
      </w:r>
    </w:p>
    <w:p>
      <w:pPr>
        <w:pStyle w:val="FirstParagraph"/>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bookmarkEnd w:id="30"/>
    <w:bookmarkStart w:id="34" w:name="a.3-simulation-as-calibration"/>
    <w:p>
      <w:pPr>
        <w:pStyle w:val="Heading3"/>
        <w:keepNext/>
        <w:keepLines/>
        <w:widowControl w:val="1"/>
      </w:pPr>
      <w:r>
        <w:t xml:space="preserve">A.3 Simulation as calibration</w:t>
      </w:r>
    </w:p>
    <w:p>
      <w:pPr>
        <w:pStyle w:val="FirstParagraph"/>
        <w:jc w:val="both"/>
        <w:keepNext w:val="0"/>
        <w:keepLines w:val="0"/>
        <w:widowControl w:val="1"/>
      </w:pPr>
      <w:r>
        <w:t xml:space="preserve">The regime map of Section 5 was measured by a replay harness; this section calibrates that harness on a fully synthetic market where ground truth is known and every quantity is controlled. The four-subscriber example of Appendix A.1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2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32" name="Picture"/>
                  <a:graphic>
                    <a:graphicData uri="http://schemas.openxmlformats.org/drawingml/2006/picture">
                      <pic:pic>
                        <pic:nvPicPr>
                          <pic:cNvPr descr="figs2col/fig3.png" id="33" name="Picture"/>
                          <pic:cNvPicPr>
                            <a:picLocks noChangeArrowheads="1" noChangeAspect="1"/>
                          </pic:cNvPicPr>
                        </pic:nvPicPr>
                        <pic:blipFill>
                          <a:blip r:embed="rId31"/>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A.5’s pacing mechanism and the refinement loop exist to absorb.</w:t>
      </w:r>
    </w:p>
    <w:bookmarkEnd w:id="34"/>
    <w:bookmarkStart w:id="35" w:name="a.4-extended-robustness-checks"/>
    <w:p>
      <w:pPr>
        <w:pStyle w:val="Heading3"/>
        <w:keepNext/>
        <w:keepLines/>
        <w:widowControl w:val="1"/>
      </w:pPr>
      <w:r>
        <w:t xml:space="preserve">A.4 Extended robustness checks</w:t>
      </w:r>
    </w:p>
    <w:p>
      <w:pPr>
        <w:pStyle w:val="FirstParagraph"/>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45" w:name="a.5-reference-serving-architecture"/>
    <w:p>
      <w:pPr>
        <w:pStyle w:val="Heading3"/>
        <w:keepNext/>
        <w:keepLines/>
        <w:widowControl w:val="1"/>
      </w:pPr>
      <w:r>
        <w:t xml:space="preserve">A.5 Reference serving architecture</w:t>
      </w:r>
    </w:p>
    <w:p>
      <w:pPr>
        <w:pStyle w:val="FirstParagraph"/>
        <w:jc w:val="both"/>
        <w:keepNext w:val="0"/>
        <w:keepLines w:val="0"/>
        <w:widowControl w:val="1"/>
      </w:pPr>
      <w:r>
        <w:t xml:space="preserve">This appendix gives the full deployment design summarized in Section 6: the offline stage that compiles the plan and the online stage that executes it per impression. It is a design sketch; the experiments of Sections 3–5 validate the allocation core it compiles, not the per-subscriber serving machinery detailed here.</w:t>
      </w:r>
    </w:p>
    <w:p>
      <w:pPr>
        <w:pStyle w:val="BodyText"/>
        <w:jc w:val="both"/>
        <w:keepNext w:val="0"/>
        <w:keepLines w:val="0"/>
        <w:widowControl w:val="1"/>
      </w:pPr>
      <w:r>
        <w:rPr>
          <w:b/>
          <w:bCs/>
        </w:rPr>
        <w:t xml:space="preserve">offline stage: learning the inputs to the plan.</w:t>
      </w:r>
      <w:r>
        <w:t xml:space="preserve"> </w:t>
      </w: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3"/>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3"/>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3"/>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p>
      <w:pPr>
        <w:pStyle w:val="BodyText"/>
        <w:jc w:val="both"/>
        <w:keepNext w:val="0"/>
        <w:keepLines w:val="0"/>
        <w:widowControl w:val="1"/>
      </w:pPr>
      <w:r>
        <w:rPr>
          <w:b/>
          <w:bCs/>
        </w:rPr>
        <w:t xml:space="preserve">records.</w:t>
      </w:r>
      <w:r>
        <w:t xml:space="preserve"> </w:t>
      </w:r>
      <w:r>
        <w:t xml:space="preserve">The atomic unit of evidence is an ad response record: who saw what, in what context, and whether they clicked.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pStyle w:val="BodyText"/>
        <w:spacing w:before="240"/>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p>
      <w:pPr>
        <w:pStyle w:val="BodyText"/>
        <w:jc w:val="both"/>
        <w:keepNext w:val="0"/>
        <w:keepLines w:val="0"/>
        <w:widowControl w:val="1"/>
      </w:pPr>
      <w:r>
        <w:rPr>
          <w:b/>
          <w:bCs/>
        </w:rPr>
        <w:t xml:space="preserve">and clustering.</w:t>
      </w:r>
      <w:r>
        <w:t xml:space="preserve"> </w:t>
      </w: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pStyle w:val="BodyText"/>
        <w:spacing w:before="240"/>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A.5), so predictions blend the behavior of every cluster the subscriber resembles.</w:t>
      </w:r>
    </w:p>
    <w:p>
      <w:pPr>
        <w:pStyle w:val="BodyText"/>
        <w:jc w:val="both"/>
        <w:keepNext w:val="0"/>
        <w:keepLines w:val="0"/>
        <w:widowControl w:val="1"/>
      </w:pPr>
      <w:r>
        <w:rPr>
          <w:b/>
          <w:bCs/>
        </w:rPr>
        <w:t xml:space="preserve">representation and click estimation.</w:t>
      </w:r>
      <w:r>
        <w:t xml:space="preserve"> </w:t>
      </w: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pStyle w:val="BodyText"/>
        <w:spacing w:before="240"/>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p>
      <w:pPr>
        <w:pStyle w:val="BodyText"/>
        <w:jc w:val="both"/>
        <w:keepNext w:val="0"/>
        <w:keepLines w:val="0"/>
        <w:widowControl w:val="1"/>
      </w:pPr>
      <w:r>
        <w:rPr>
          <w:b/>
          <w:bCs/>
        </w:rPr>
        <w:t xml:space="preserve">the plan into lookup tables.</w:t>
      </w:r>
      <w:r>
        <w:t xml:space="preserve"> </w:t>
      </w: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pStyle w:val="BodyText"/>
        <w:spacing w:before="240"/>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p>
      <w:pPr>
        <w:pStyle w:val="BodyText"/>
        <w:jc w:val="both"/>
        <w:keepNext w:val="0"/>
        <w:keepLines w:val="0"/>
        <w:widowControl w:val="1"/>
      </w:pPr>
      <w:r>
        <w:rPr>
          <w:b/>
          <w:bCs/>
        </w:rPr>
        <w:t xml:space="preserve">online stage: executing the plan in real time.</w:t>
      </w:r>
      <w:r>
        <w:t xml:space="preserve"> </w:t>
      </w: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7" name="Picture"/>
                  <a:graphic>
                    <a:graphicData uri="http://schemas.openxmlformats.org/drawingml/2006/picture">
                      <pic:pic>
                        <pic:nvPicPr>
                          <pic:cNvPr descr="figs2col/fig4.png" id="38" name="Picture"/>
                          <pic:cNvPicPr>
                            <a:picLocks noChangeArrowheads="1" noChangeAspect="1"/>
                          </pic:cNvPicPr>
                        </pic:nvPicPr>
                        <pic:blipFill>
                          <a:blip r:embed="rId36"/>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p>
      <w:pPr>
        <w:pStyle w:val="BodyText"/>
        <w:jc w:val="both"/>
        <w:keepNext w:val="0"/>
        <w:keepLines w:val="0"/>
        <w:widowControl w:val="1"/>
      </w:pPr>
      <w:r>
        <w:rPr>
          <w:b/>
          <w:bCs/>
        </w:rPr>
        <w:t xml:space="preserve">The seven-step decision.</w:t>
      </w:r>
    </w:p>
    <w:p>
      <w:pPr>
        <w:pStyle w:val="Compact"/>
        <w:numPr>
          <w:ilvl w:val="0"/>
          <w:numId w:val="1004"/>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4"/>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4"/>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4"/>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A.5).</w:t>
      </w:r>
    </w:p>
    <w:p>
      <w:pPr>
        <w:pStyle w:val="Compact"/>
        <w:numPr>
          <w:ilvl w:val="0"/>
          <w:numId w:val="1004"/>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A.5).</w:t>
      </w:r>
    </w:p>
    <w:p>
      <w:pPr>
        <w:pStyle w:val="Compact"/>
        <w:numPr>
          <w:ilvl w:val="0"/>
          <w:numId w:val="1004"/>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4"/>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0" name="Picture"/>
                  <a:graphic>
                    <a:graphicData uri="http://schemas.openxmlformats.org/drawingml/2006/picture">
                      <pic:pic>
                        <pic:nvPicPr>
                          <pic:cNvPr descr="figs2col/fig5.png" id="41" name="Picture"/>
                          <pic:cNvPicPr>
                            <a:picLocks noChangeArrowheads="1" noChangeAspect="1"/>
                          </pic:cNvPicPr>
                        </pic:nvPicPr>
                        <pic:blipFill>
                          <a:blip r:embed="rId39"/>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p>
      <w:pPr>
        <w:pStyle w:val="BodyText"/>
        <w:jc w:val="both"/>
        <w:keepNext w:val="0"/>
        <w:keepLines w:val="0"/>
        <w:widowControl w:val="1"/>
      </w:pPr>
      <w:r>
        <w:rPr>
          <w:b/>
          <w:bCs/>
        </w:rPr>
        <w:t xml:space="preserve">prediction by soft membership.</w:t>
      </w:r>
      <w:r>
        <w:t xml:space="preserve"> </w:t>
      </w: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p>
      <w:pPr>
        <w:pStyle w:val="BodyText"/>
        <w:jc w:val="both"/>
        <w:keepNext w:val="0"/>
        <w:keepLines w:val="0"/>
        <w:widowControl w:val="1"/>
      </w:pPr>
      <w:r>
        <w:rPr>
          <w:b/>
          <w:bCs/>
        </w:rPr>
        <w:t xml:space="preserve">Pacing: planned versus actual.</w:t>
      </w:r>
      <w:r>
        <w:t xml:space="preserve"> </w:t>
      </w: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pStyle w:val="BodyText"/>
        <w:spacing w:before="240"/>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3" name="Picture"/>
                  <a:graphic>
                    <a:graphicData uri="http://schemas.openxmlformats.org/drawingml/2006/picture">
                      <pic:pic>
                        <pic:nvPicPr>
                          <pic:cNvPr descr="figs2col/fig6.png" id="44" name="Picture"/>
                          <pic:cNvPicPr>
                            <a:picLocks noChangeArrowheads="1" noChangeAspect="1"/>
                          </pic:cNvPicPr>
                        </pic:nvPicPr>
                        <pic:blipFill>
                          <a:blip r:embed="rId42"/>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r>
    </w:tbl>
    <w:p>
      <w:pPr>
        <w:pStyle w:val="BodyText"/>
        <w:spacing w:before="240"/>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p>
      <w:pPr>
        <w:pStyle w:val="BodyText"/>
        <w:jc w:val="both"/>
        <w:keepNext w:val="0"/>
        <w:keepLines w:val="0"/>
        <w:widowControl w:val="1"/>
      </w:pPr>
      <w:r>
        <w:t xml:space="preserve">Preprint, August 2026. Code and replay harness: github.com/ApartsinProjects/optimal-impression-allocation.</w:t>
      </w:r>
    </w:p>
    <w:bookmarkEnd w:id="45"/>
    <w:bookmarkEnd w:id="4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2026-09-01T17:44:46Z</dcterms:created>
  <dcterms:modified xsi:type="dcterms:W3CDTF">2026-09-01T17:44:46Z</dcterms:modified>
</cp:coreProperties>
</file>

<file path=docProps/custom.xml><?xml version="1.0" encoding="utf-8"?>
<Properties xmlns="http://schemas.openxmlformats.org/officeDocument/2006/custom-properties" xmlns:vt="http://schemas.openxmlformats.org/officeDocument/2006/docPropsVTypes"/>
</file>