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Preprint</w:t>
      </w:r>
    </w:p>
    <w:bookmarkStart w:id="9" w:name="Xe0b23c8d3b07adb668ac266dbda4e510f440088"/>
    <w:p>
      <w:pPr>
        <w:pStyle w:val="Title"/>
        <w:spacing w:before="0" w:after="160"/>
        <w:jc w:val="center"/>
        <w:keepNext/>
        <w:keepLines/>
        <w:widowControl w:val="1"/>
      </w:pPr>
      <w:r>
        <w:t xml:space="preserve">Impression Allocation under Campaign Quotas: A Persistence Rule for Segmentation and a Regime Map for Pacing</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2"/>
              </w:rPr>
              <w:t>Alexander Apartsin</w:t>
            </w:r>
            <w:r>
              <w:rPr>
                <w:rFonts w:ascii="Georgia" w:hAnsi="Georgia"/>
                <w:b/>
                <w:i w:val="0"/>
                <w:sz w:val="22"/>
                <w:vertAlign w:val="superscript"/>
              </w:rPr>
              <w:t>1</w:t>
            </w:r>
            <w:r>
              <w:rPr>
                <w:rFonts w:ascii="Georgia" w:hAnsi="Georgia"/>
                <w:b/>
                <w:i w:val="0"/>
                <w:sz w:val="22"/>
              </w:rPr>
              <w:t xml:space="preserve"> · Yehudit Aperstein</w:t>
            </w:r>
            <w:r>
              <w:rPr>
                <w:rFonts w:ascii="Georgia" w:hAnsi="Georgia"/>
                <w:b/>
                <w:i w:val="0"/>
                <w:sz w:val="22"/>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19"/>
                <w:vertAlign w:val="superscript"/>
              </w:rPr>
              <w:t>1</w:t>
            </w:r>
            <w:r>
              <w:rPr>
                <w:rFonts w:ascii="Georgia" w:hAnsi="Georgia"/>
                <w:b w:val="0"/>
                <w:i/>
                <w:sz w:val="19"/>
              </w:rPr>
              <w:t>School of Computer Science, Faculty of Sciences, Holon Institute of Technology (HIT), Holon, Israel</w:t>
            </w:r>
            <w:r>
              <w:rPr>
                <w:rFonts w:ascii="Georgia" w:hAnsi="Georgia"/>
                <w:b w:val="0"/>
                <w:i/>
                <w:sz w:val="19"/>
                <w:vertAlign w:val="superscript"/>
              </w:rPr>
              <w:t>2</w:t>
            </w:r>
            <w:r>
              <w:rPr>
                <w:rFonts w:ascii="Georgia" w:hAnsi="Georgia"/>
                <w:b w:val="0"/>
                <w:i/>
                <w:sz w:val="19"/>
              </w:rPr>
              <w:t>Intelligent Systems, Afeka Academic College of Engineering, Tel-Aviv,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A platform selling guaranteed impression quotas must decide, for each arriving user, which campaign’s booked impressions to spend, across many fine audience segments and under scarce supply. With quotas fixed, we show that only one quantity can make one allocation beat another: the campaign-by-segment</w:t>
      </w:r>
      <w:r>
        <w:t xml:space="preserve"> </w:t>
      </w:r>
      <w:r>
        <w:rPr>
          <w:i/>
          <w:iCs/>
        </w:rPr>
        <w:t xml:space="preserve">interaction</w:t>
      </w:r>
      <w:r>
        <w:t xml:space="preserve"> </w:t>
      </w:r>
      <w:r>
        <w:t xml:space="preserve">in click-through rate, what remains after campaign and segment effects wash out, and only where that interaction persists from the planning window to the serving window. This yields a rule an operator can commit to in advance: segment on the axes whose interaction persists, at the depth the per-cell data supports, then plan the allocation as a transportation program and pace by re-solving it.</w:t>
      </w:r>
    </w:p>
    <w:p>
      <w:pPr>
        <w:pStyle w:val="BodyText"/>
        <w:ind w:left="432" w:right="432" w:firstLine="0"/>
        <w:jc w:val="both"/>
        <w:keepNext w:val="0"/>
        <w:keepLines w:val="0"/>
        <w:widowControl w:val="1"/>
      </w:pPr>
      <w:r>
        <w:t xml:space="preserve">On three public advertising logs (Taobao, Avazu, Outbrain), under a replay protocol hardened against a self-scoring bias and validated on a known-truth benchmark, the rule picks the segmentation that pays, and the planned allocation beats both greedy serving and online price-learning pacing, which collapses under heavy contention. Contention sets the payoff: an uncontended market yields little to allocate, whatever the segmentation. The result is a three-step recipe: probe persistence to choose the segments, measure contention to decide whether planning is worth it, and solve, and re-solve, for the pacing prices.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jc w:val="both"/>
        <w:keepNext w:val="0"/>
        <w:keepLines w:val="0"/>
        <w:widowControl w:val="1"/>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6, its largest current instance is retail media, and the public commerce-media log we evaluate on (Taobao) comes from inside it.</w:t>
      </w:r>
    </w:p>
    <w:p>
      <w:pPr>
        <w:pStyle w:val="BodyText"/>
        <w:jc w:val="both"/>
        <w:keepNext w:val="0"/>
        <w:keepLines w:val="0"/>
        <w:widowControl w:val="1"/>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4 shows its answer is governed by which interactions persist, not by maximal fineness.</w:t>
      </w:r>
    </w:p>
    <w:p>
      <w:pPr>
        <w:pStyle w:val="BodyText"/>
        <w:jc w:val="both"/>
        <w:keepNext w:val="0"/>
        <w:keepLines w:val="0"/>
        <w:widowControl w:val="1"/>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jc w:val="both"/>
        <w:keepNext w:val="0"/>
        <w:keepLines w:val="0"/>
        <w:widowControl w:val="1"/>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jc w:val="both"/>
        <w:keepNext w:val="0"/>
        <w:keepLines w:val="0"/>
        <w:widowControl w:val="1"/>
      </w:pPr>
      <w:r>
        <w:t xml:space="preserve">Section 2 states the allocation program and its interaction-invariance structure. Section 3 develops the replay protocol and validates it against a known ground truth, Section 4 the persistence rule, and Section 5 the regime map with its cross-dataset and revenue-objective replications. Section 6 summarizes the reference serving architecture that motivated the study, Section 7 situates the work in the online-allocation and offline-evaluation literature, and Sections 8 and 9 close with design principles and scope. The appendix collects the worked example (A.1), the proof of Proposition 1 (A.2), the simulation calibration (A.3), the extended robustness checks (A.4), and the full serving architecture (A.5).</w:t>
      </w:r>
    </w:p>
    <w:bookmarkEnd w:id="11"/>
    <w:bookmarkStart w:id="13" w:name="formulation"/>
    <w:p>
      <w:pPr>
        <w:pStyle w:val="Heading2"/>
        <w:keepNext/>
        <w:keepLines/>
        <w:widowControl w:val="1"/>
      </w:pPr>
      <w:r>
        <w:t xml:space="preserve">2</w:t>
      </w:r>
      <w:r>
        <w:t xml:space="preserve"> </w:t>
      </w:r>
      <w:r>
        <w:t xml:space="preserve">Formulation</w:t>
      </w:r>
    </w:p>
    <w:p>
      <w:pPr>
        <w:pStyle w:val="FirstParagraph"/>
        <w:jc w:val="both"/>
        <w:keepNext w:val="0"/>
        <w:keepLines w:val="0"/>
        <w:widowControl w:val="1"/>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BodyText"/>
        <w:jc w:val="both"/>
        <w:keepNext w:val="0"/>
        <w:keepLines w:val="0"/>
        <w:widowControl w:val="1"/>
      </w:pPr>
      <w:r>
        <w:t xml:space="preserve">maximize Σ</w:t>
      </w:r>
      <w:r>
        <w:rPr>
          <w:vertAlign w:val="subscript"/>
        </w:rPr>
        <w:t xml:space="preserve">c,s</w:t>
      </w:r>
      <w:r>
        <w:t xml:space="preserve"> </w:t>
      </w:r>
      <w:r>
        <w:t xml:space="preserve">x</w:t>
      </w:r>
      <w:r>
        <w:rPr>
          <w:vertAlign w:val="subscript"/>
        </w:rPr>
        <w:t xml:space="preserve">c,s</w:t>
      </w:r>
      <w:r>
        <w:t xml:space="preserve"> </w:t>
      </w:r>
      <w:r>
        <w:t xml:space="preserve">· ( r</w:t>
      </w:r>
      <w:r>
        <w:rPr>
          <w:vertAlign w:val="subscript"/>
        </w:rPr>
        <w:t xml:space="preserve">c</w:t>
      </w:r>
      <w:r>
        <w:t xml:space="preserve"> </w:t>
      </w:r>
      <w:r>
        <w:t xml:space="preserve">+ q</w:t>
      </w:r>
      <w:r>
        <w:rPr>
          <w:vertAlign w:val="subscript"/>
        </w:rPr>
        <w:t xml:space="preserve">c</w:t>
      </w:r>
      <w:r>
        <w:t xml:space="preserve"> </w:t>
      </w:r>
      <w:r>
        <w:t xml:space="preserve">· p</w:t>
      </w:r>
      <w:r>
        <w:rPr>
          <w:vertAlign w:val="subscript"/>
        </w:rPr>
        <w:t xml:space="preserve">c,s</w:t>
      </w:r>
      <w:r>
        <w:t xml:space="preserve"> </w:t>
      </w:r>
      <w:r>
        <w:t xml:space="preserve">)</w:t>
      </w:r>
      <w:r>
        <w:t xml:space="preserve"> </w:t>
      </w:r>
      <w:r>
        <w:t xml:space="preserve">subject to Σ</w:t>
      </w:r>
      <w:r>
        <w:rPr>
          <w:vertAlign w:val="subscript"/>
        </w:rPr>
        <w:t xml:space="preserve">c</w:t>
      </w:r>
      <w:r>
        <w:t xml:space="preserve"> </w:t>
      </w:r>
      <w:r>
        <w:t xml:space="preserve">x</w:t>
      </w:r>
      <w:r>
        <w:rPr>
          <w:vertAlign w:val="subscript"/>
        </w:rPr>
        <w:t xml:space="preserve">c,s</w:t>
      </w:r>
      <w:r>
        <w:t xml:space="preserve"> </w:t>
      </w:r>
      <w:r>
        <w:t xml:space="preserve">≤ H</w:t>
      </w:r>
      <w:r>
        <w:rPr>
          <w:vertAlign w:val="subscript"/>
        </w:rPr>
        <w:t xml:space="preserve">s</w:t>
      </w:r>
      <w:r>
        <w:t xml:space="preserve"> </w:t>
      </w:r>
      <w:r>
        <w:t xml:space="preserve">(segment supply)</w:t>
      </w:r>
      <w:r>
        <w:t xml:space="preserve"> </w:t>
      </w:r>
      <w:r>
        <w:t xml:space="preserve">Σ</w:t>
      </w:r>
      <w:r>
        <w:rPr>
          <w:vertAlign w:val="subscript"/>
        </w:rPr>
        <w:t xml:space="preserve">s</w:t>
      </w:r>
      <w:r>
        <w:t xml:space="preserve"> </w:t>
      </w:r>
      <w:r>
        <w:t xml:space="preserve">x</w:t>
      </w:r>
      <w:r>
        <w:rPr>
          <w:vertAlign w:val="subscript"/>
        </w:rPr>
        <w:t xml:space="preserve">c,s</w:t>
      </w:r>
      <w:r>
        <w:t xml:space="preserve"> </w:t>
      </w:r>
      <w:r>
        <w:t xml:space="preserve">≤ Q</w:t>
      </w:r>
      <w:r>
        <w:rPr>
          <w:vertAlign w:val="subscript"/>
        </w:rPr>
        <w:t xml:space="preserve">c</w:t>
      </w:r>
      <w:r>
        <w:t xml:space="preserve"> </w:t>
      </w:r>
      <w:r>
        <w:t xml:space="preserve">(campaign quota)</w:t>
      </w:r>
      <w:r>
        <w:t xml:space="preserve"> </w:t>
      </w:r>
      <w:r>
        <w:t xml:space="preserve">x</w:t>
      </w:r>
      <w:r>
        <w:rPr>
          <w:vertAlign w:val="subscript"/>
        </w:rPr>
        <w:t xml:space="preserve">c,s</w:t>
      </w:r>
      <w:r>
        <w:t xml:space="preserve"> </w:t>
      </w:r>
      <w:r>
        <w:t xml:space="preserve">= 0 where targeting excludes (c, s)</w:t>
      </w:r>
      <w:r>
        <w:t xml:space="preserve"> </w:t>
      </w:r>
      <w:r>
        <w:t xml:space="preserve">x</w:t>
      </w:r>
      <w:r>
        <w:rPr>
          <w:vertAlign w:val="subscript"/>
        </w:rPr>
        <w:t xml:space="preserve">c,s</w:t>
      </w:r>
      <w:r>
        <w:t xml:space="preserve"> </w:t>
      </w:r>
      <w:r>
        <w:t xml:space="preserve">≥ 0</w:t>
      </w:r>
    </w:p>
    <w:p>
      <w:pPr>
        <w:pStyle w:val="BodyText"/>
        <w:jc w:val="both"/>
        <w:keepNext w:val="0"/>
        <w:keepLines w:val="0"/>
        <w:widowControl w:val="1"/>
      </w:pPr>
      <w:r>
        <w:t xml:space="preserve">Figure 2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jc w:val="both"/>
        <w:keepNext w:val="0"/>
        <w:keepLines w:val="0"/>
        <w:widowControl w:val="1"/>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5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12" w:name="Xb8b18ac5c60ec5742410ace98e579bc138671d3"/>
    <w:p>
      <w:pPr>
        <w:pStyle w:val="Heading3"/>
        <w:keepNext/>
        <w:keepLines/>
        <w:widowControl w:val="1"/>
      </w:pPr>
      <w:r>
        <w:t xml:space="preserve">2.1 Interaction invariance under fixed margins</w:t>
      </w:r>
    </w:p>
    <w:p>
      <w:pPr>
        <w:pStyle w:val="FirstParagraph"/>
        <w:jc w:val="both"/>
        <w:keepNext w:val="0"/>
        <w:keepLines w:val="0"/>
        <w:widowControl w:val="1"/>
      </w:pPr>
      <w:r>
        <w:t xml:space="preserve">The value matrix admits an additive decomposition into a campaign main effect, a segment main effect, and an interaction residual,</w:t>
      </w:r>
    </w:p>
    <w:p>
      <w:pPr>
        <w:pStyle w:val="BodyText"/>
        <w:jc w:val="both"/>
        <w:keepNext w:val="0"/>
        <w:keepLines w:val="0"/>
        <w:widowControl w:val="1"/>
      </w:pPr>
      <w:r>
        <w:t xml:space="preserve">v</w:t>
      </w:r>
      <w:r>
        <w:rPr>
          <w:vertAlign w:val="subscript"/>
        </w:rPr>
        <w:t xml:space="preserve">cs</w:t>
      </w:r>
      <w:r>
        <w:t xml:space="preserve"> </w:t>
      </w:r>
      <w:r>
        <w:t xml:space="preserve">= a</w:t>
      </w:r>
      <w:r>
        <w:rPr>
          <w:vertAlign w:val="subscript"/>
        </w:rPr>
        <w:t xml:space="preserve">c</w:t>
      </w:r>
      <w:r>
        <w:t xml:space="preserve"> </w:t>
      </w:r>
      <w:r>
        <w:t xml:space="preserve">+ b</w:t>
      </w:r>
      <w:r>
        <w:rPr>
          <w:vertAlign w:val="subscript"/>
        </w:rPr>
        <w:t xml:space="preserve">s</w:t>
      </w:r>
      <w:r>
        <w:t xml:space="preserve"> </w:t>
      </w:r>
      <w:r>
        <w:t xml:space="preserve">+ g</w:t>
      </w:r>
      <w:r>
        <w:rPr>
          <w:vertAlign w:val="subscript"/>
        </w:rPr>
        <w:t xml:space="preserve">cs</w:t>
      </w:r>
      <w:r>
        <w:t xml:space="preserve">,</w:t>
      </w:r>
    </w:p>
    <w:p>
      <w:pPr>
        <w:pStyle w:val="BodyText"/>
        <w:jc w:val="both"/>
        <w:keepNext w:val="0"/>
        <w:keepLines w:val="0"/>
        <w:widowControl w:val="1"/>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jc w:val="both"/>
        <w:keepNext w:val="0"/>
        <w:keepLines w:val="0"/>
        <w:widowControl w:val="1"/>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BodyText"/>
        <w:jc w:val="both"/>
        <w:keepNext w:val="0"/>
        <w:keepLines w:val="0"/>
        <w:widowControl w:val="1"/>
      </w:pPr>
      <w:r>
        <w:t xml:space="preserve">V(x) − V(x′) = Σ</w:t>
      </w:r>
      <w:r>
        <w:rPr>
          <w:vertAlign w:val="subscript"/>
        </w:rPr>
        <w:t xml:space="preserve">c,s</w:t>
      </w:r>
      <w:r>
        <w:t xml:space="preserve"> </w:t>
      </w:r>
      <w:r>
        <w:t xml:space="preserve">( x</w:t>
      </w:r>
      <w:r>
        <w:rPr>
          <w:vertAlign w:val="subscript"/>
        </w:rPr>
        <w:t xml:space="preserve">c,s</w:t>
      </w:r>
      <w:r>
        <w:t xml:space="preserve"> </w:t>
      </w:r>
      <w:r>
        <w:t xml:space="preserve">− x′</w:t>
      </w:r>
      <w:r>
        <w:rPr>
          <w:vertAlign w:val="subscript"/>
        </w:rPr>
        <w:t xml:space="preserve">c,s</w:t>
      </w:r>
      <w:r>
        <w:t xml:space="preserve"> </w:t>
      </w:r>
      <w:r>
        <w:t xml:space="preserve">) · g</w:t>
      </w:r>
      <w:r>
        <w:rPr>
          <w:vertAlign w:val="subscript"/>
        </w:rPr>
        <w:t xml:space="preserve">c,s</w:t>
      </w:r>
      <w:r>
        <w:t xml:space="preserve">.</w:t>
      </w:r>
    </w:p>
    <w:p>
      <w:pPr>
        <w:pStyle w:val="BodyText"/>
        <w:jc w:val="both"/>
        <w:keepNext w:val="0"/>
        <w:keepLines w:val="0"/>
        <w:widowControl w:val="1"/>
      </w:pPr>
      <w:r>
        <w:t xml:space="preserve">The proof is a two-line expansion of the objective and appears in Appendix A.5.</w:t>
      </w:r>
    </w:p>
    <w:p>
      <w:pPr>
        <w:pStyle w:val="BodyText"/>
        <w:jc w:val="both"/>
        <w:keepNext w:val="0"/>
        <w:keepLines w:val="0"/>
        <w:widowControl w:val="1"/>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4 turns this into a selection rule. Four corollaries fix the scope precisely.</w:t>
      </w:r>
    </w:p>
    <w:p>
      <w:pPr>
        <w:pStyle w:val="Compact"/>
        <w:numPr>
          <w:ilvl w:val="0"/>
          <w:numId w:val="1001"/>
        </w:numPr>
        <w:ind w:left="360" w:hanging="259"/>
        <w:jc w:val="both"/>
        <w:keepNext w:val="0"/>
        <w:keepLines w:val="0"/>
        <w:widowControl w:val="1"/>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ind w:left="360" w:hanging="259"/>
        <w:jc w:val="both"/>
        <w:keepNext w:val="0"/>
        <w:keepLines w:val="0"/>
        <w:widowControl w:val="1"/>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ind w:left="360" w:hanging="259"/>
        <w:jc w:val="both"/>
        <w:keepNext w:val="0"/>
        <w:keepLines w:val="0"/>
        <w:widowControl w:val="1"/>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ind w:left="360" w:hanging="259"/>
        <w:jc w:val="both"/>
        <w:keepNext w:val="0"/>
        <w:keepLines w:val="0"/>
        <w:widowControl w:val="1"/>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5 probe, and it is why policy orderings there differ from the feasible case.</w:t>
      </w:r>
    </w:p>
    <w:bookmarkEnd w:id="12"/>
    <w:bookmarkEnd w:id="13"/>
    <w:bookmarkStart w:id="15" w:name="replay-evaluation-protocol"/>
    <w:p>
      <w:pPr>
        <w:pStyle w:val="Heading2"/>
        <w:keepNext/>
        <w:keepLines/>
        <w:widowControl w:val="1"/>
      </w:pPr>
      <w:r>
        <w:t xml:space="preserve">3</w:t>
      </w:r>
      <w:r>
        <w:t xml:space="preserve"> </w:t>
      </w:r>
      <w:r>
        <w:t xml:space="preserve">Replay evaluation protocol</w:t>
      </w:r>
    </w:p>
    <w:p>
      <w:pPr>
        <w:pStyle w:val="FirstParagraph"/>
        <w:jc w:val="both"/>
        <w:keepNext w:val="0"/>
        <w:keepLines w:val="0"/>
        <w:widowControl w:val="1"/>
      </w:pPr>
      <w:r>
        <w:t xml:space="preserve">A synthetic market controls everything (Appendix A.3);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4 and 5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jc w:val="both"/>
        <w:keepNext w:val="0"/>
        <w:keepLines w:val="0"/>
        <w:widowControl w:val="1"/>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A.5 (soft-membership blending, frequency caps, threshold pacing) operate below this granularity and are not exercised by these experiments.</w:t>
      </w:r>
    </w:p>
    <w:bookmarkStart w:id="14" w:name="X888dfabe7f5ac870af14768d223c176646b6318"/>
    <w:p>
      <w:pPr>
        <w:pStyle w:val="Heading3"/>
        <w:keepNext/>
        <w:keepLines/>
        <w:widowControl w:val="1"/>
      </w:pPr>
      <w:r>
        <w:t xml:space="preserve">3.1</w:t>
      </w:r>
      <w:r>
        <w:t xml:space="preserve"> </w:t>
      </w:r>
      <w:r>
        <w:t xml:space="preserve">Does model-scored replay recover the truth?</w:t>
      </w:r>
    </w:p>
    <w:p>
      <w:pPr>
        <w:pStyle w:val="FirstParagraph"/>
        <w:jc w:val="both"/>
        <w:keepNext w:val="0"/>
        <w:keepLines w:val="0"/>
        <w:widowControl w:val="1"/>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14"/>
    <w:bookmarkEnd w:id="15"/>
    <w:bookmarkStart w:id="16" w:name="the-persistence-rule"/>
    <w:p>
      <w:pPr>
        <w:pStyle w:val="Heading2"/>
        <w:keepNext/>
        <w:keepLines/>
        <w:widowControl w:val="1"/>
      </w:pPr>
      <w:r>
        <w:t xml:space="preserve">4</w:t>
      </w:r>
      <w:r>
        <w:t xml:space="preserve"> </w:t>
      </w:r>
      <w:r>
        <w:t xml:space="preserve">The persistence rule</w:t>
      </w:r>
    </w:p>
    <w:p>
      <w:pPr>
        <w:pStyle w:val="FirstParagraph"/>
        <w:jc w:val="both"/>
        <w:keepNext w:val="0"/>
        <w:keepLines w:val="0"/>
        <w:widowControl w:val="1"/>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Segmentation 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persistence (r)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size beyond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tier (usage volume)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0.48–0.54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~1pp on a 5.5pp base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 × 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~0.5pp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Hour × position slot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Count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greedy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adaptive pacing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Activity, 8 tiers (pre-committed)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+3.46% ± 0.69pp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+0.92% ± 0.47pp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4 tiers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 ± 0.50pp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+1.15% ± 0.31pp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Tier × 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+1.93% ± 0.91pp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 only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 ± 0.61pp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jc w:val="both"/>
        <w:keepNext w:val="0"/>
        <w:keepLines w:val="0"/>
        <w:widowControl w:val="1"/>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9 states. With that rule applied, the replayed policies capture 85–91% of the hindsight bound; the residual is the estimation noise and week-over-week drift that the pacing loop of Appendix A.5 exists to absorb.</w:t>
      </w:r>
    </w:p>
    <w:p>
      <w:pPr>
        <w:pStyle w:val="BodyText"/>
        <w:jc w:val="both"/>
        <w:keepNext w:val="0"/>
        <w:keepLines w:val="0"/>
        <w:widowControl w:val="1"/>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jc w:val="both"/>
        <w:keepNext w:val="0"/>
        <w:keepLines w:val="0"/>
        <w:widowControl w:val="1"/>
      </w:pPr>
      <w:r>
        <w:t xml:space="preserve">These two components combine into a single selection procedure that runs on planning-window data alone and returns a segmentation, or abstains, before any serving outcome is seen.</w:t>
      </w:r>
    </w:p>
    <w:p>
      <w:pPr>
        <w:pStyle w:val="BodyText"/>
        <w:jc w:val="both"/>
        <w:keepNext w:val="0"/>
        <w:keepLines w:val="0"/>
        <w:widowControl w:val="1"/>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jc w:val="both"/>
        <w:keepNext w:val="0"/>
        <w:keepLines w:val="0"/>
        <w:widowControl w:val="1"/>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BodyText"/>
        <w:jc w:val="both"/>
        <w:keepNext w:val="0"/>
        <w:keepLines w:val="0"/>
        <w:widowControl w:val="1"/>
      </w:pPr>
      <w:r>
        <w:t xml:space="preserve">d</w:t>
      </w:r>
      <w:r>
        <w:rPr>
          <w:vertAlign w:val="superscript"/>
        </w:rPr>
        <w:t xml:space="preserve">*</w:t>
      </w:r>
      <w:r>
        <w:t xml:space="preserve"> </w:t>
      </w:r>
      <w:r>
        <w:t xml:space="preserve">= max { d : median</w:t>
      </w:r>
      <w:r>
        <w:rPr>
          <w:vertAlign w:val="subscript"/>
        </w:rPr>
        <w:t xml:space="preserve">(c,s): x</w:t>
      </w:r>
      <w:r>
        <w:rPr>
          <w:vertAlign w:val="superscript"/>
          <w:vertAlign w:val="subscript"/>
        </w:rPr>
        <w:t xml:space="preserve">plan</w:t>
      </w:r>
      <w:r>
        <w:rPr>
          <w:vertAlign w:val="subscript"/>
          <w:vertAlign w:val="subscript"/>
        </w:rPr>
        <w:t xml:space="preserve">cs</w:t>
      </w:r>
      <w:r>
        <w:rPr>
          <w:vertAlign w:val="subscript"/>
        </w:rPr>
        <w:t xml:space="preserve">&gt;0</w:t>
      </w:r>
      <w:r>
        <w:t xml:space="preserve"> </w:t>
      </w:r>
      <w:r>
        <w:t xml:space="preserve">N</w:t>
      </w:r>
      <w:r>
        <w:rPr>
          <w:vertAlign w:val="superscript"/>
        </w:rPr>
        <w:t xml:space="preserve">train</w:t>
      </w:r>
      <w:r>
        <w:rPr>
          <w:vertAlign w:val="subscript"/>
        </w:rPr>
        <w:t xml:space="preserve">cs</w:t>
      </w:r>
      <w:r>
        <w:t xml:space="preserve"> </w:t>
      </w:r>
      <w:r>
        <w:t xml:space="preserve">≥ n</w:t>
      </w:r>
      <w:r>
        <w:rPr>
          <w:vertAlign w:val="subscript"/>
        </w:rPr>
        <w:t xml:space="preserve">min</w:t>
      </w:r>
      <w:r>
        <w:t xml:space="preserve"> </w:t>
      </w:r>
      <w:r>
        <w:t xml:space="preserve">}, n</w:t>
      </w:r>
      <w:r>
        <w:rPr>
          <w:vertAlign w:val="subscript"/>
        </w:rPr>
        <w:t xml:space="preserve">min</w:t>
      </w:r>
      <w:r>
        <w:t xml:space="preserve"> </w:t>
      </w:r>
      <w:r>
        <w:t xml:space="preserve">≈ p̄(1−p̄) / σ</w:t>
      </w:r>
      <w:r>
        <w:rPr>
          <w:vertAlign w:val="subscript"/>
        </w:rPr>
        <w:t xml:space="preserve">γ</w:t>
      </w:r>
      <w:r>
        <w:rPr>
          <w:vertAlign w:val="superscript"/>
        </w:rPr>
        <w:t xml:space="preserve">2</w:t>
      </w:r>
      <w:r>
        <w:t xml:space="preserve">,</w:t>
      </w:r>
    </w:p>
    <w:p>
      <w:pPr>
        <w:pStyle w:val="BodyText"/>
        <w:jc w:val="both"/>
        <w:keepNext w:val="0"/>
        <w:keepLines w:val="0"/>
        <w:widowControl w:val="1"/>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jc w:val="both"/>
        <w:keepNext w:val="0"/>
        <w:keepLines w:val="0"/>
        <w:widowControl w:val="1"/>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5: contended Taobao rewards the segmentation, uncontended Outbrain does not until the demand regime is stressed.</w:t>
      </w:r>
    </w:p>
    <w:p>
      <w:pPr>
        <w:pStyle w:val="BodyText"/>
        <w:jc w:val="both"/>
        <w:keepNext w:val="0"/>
        <w:keepLines w:val="0"/>
        <w:widowControl w:val="1"/>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16"/>
    <w:bookmarkStart w:id="20" w:name="the-regime-map"/>
    <w:p>
      <w:pPr>
        <w:pStyle w:val="Heading2"/>
        <w:keepNext/>
        <w:keepLines/>
        <w:widowControl w:val="1"/>
      </w:pPr>
      <w:r>
        <w:t xml:space="preserve">5</w:t>
      </w:r>
      <w:r>
        <w:t xml:space="preserve"> </w:t>
      </w:r>
      <w:r>
        <w:t xml:space="preserve">The regime map</w:t>
      </w:r>
    </w:p>
    <w:p>
      <w:pPr>
        <w:pStyle w:val="FirstParagraph"/>
        <w:jc w:val="both"/>
        <w:keepNext w:val="0"/>
        <w:keepLines w:val="0"/>
        <w:widowControl w:val="1"/>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Quota scale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Static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Re-solved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Fixed optimal 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entropic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Euclidean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Scalar pacing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+3.46% (5.0)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+4.27% (6.1)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+4.45% (6.4)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+4.54% (6.8)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+4.73% (7.1)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+3.86% (6.3)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+2.16% (3.1)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+2.41% (3.8)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+3.62% (5.7)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+2.65% (4.3)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+0.73% (1.4)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+1.56%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+3.05% (4.9)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+3.06% (5.4)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−0.25% (−0.4)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−2.25% (−4.0)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+0.28% (0.4)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+2.22% (3.4)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+1.49% (2.4)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−0.52% (−0.9)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−4.76% (−7.2)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−6.88% (−11.2)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889250"/>
                  <wp:effectExtent b="0" l="0" r="0" t="0"/>
                  <wp:docPr descr="Figure 1" title="" id="18" name="Picture"/>
                  <a:graphic>
                    <a:graphicData uri="http://schemas.openxmlformats.org/drawingml/2006/picture">
                      <pic:pic>
                        <pic:nvPicPr>
                          <pic:cNvPr descr="figs2col/fig1.png" id="19" name="Picture"/>
                          <pic:cNvPicPr>
                            <a:picLocks noChangeArrowheads="1" noChangeAspect="1"/>
                          </pic:cNvPicPr>
                        </pic:nvPicPr>
                        <pic:blipFill>
                          <a:blip r:embed="rId17"/>
                          <a:stretch>
                            <a:fillRect/>
                          </a:stretch>
                        </pic:blipFill>
                        <pic:spPr bwMode="auto">
                          <a:xfrm>
                            <a:off x="0" y="0"/>
                            <a:ext cx="5943600" cy="288925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5 table). An operator reads the horizontal axis from the pre-deployment contention ratio of Algorithm 1, step 6, and the chart says when planning is worth the effort and which pacing to trust.</w:t>
      </w:r>
    </w:p>
    <w:p>
      <w:pPr>
        <w:pStyle w:val="BodyText"/>
        <w:jc w:val="both"/>
        <w:keepNext w:val="0"/>
        <w:keepLines w:val="0"/>
        <w:widowControl w:val="1"/>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jc w:val="both"/>
        <w:keepNext w:val="0"/>
        <w:keepLines w:val="0"/>
        <w:widowControl w:val="1"/>
      </w:pPr>
      <w:r>
        <w:t xml:space="preserve">At exact feasibility all seven policies cluster within a point; most of the value is the forecast itself, which each consumes. Under contention they separate, and the separation is a spectrum set by how the prices are obtained (Figure 1).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3.1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jc w:val="both"/>
        <w:keepNext w:val="0"/>
        <w:keepLines w:val="0"/>
        <w:widowControl w:val="1"/>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jc w:val="both"/>
        <w:keepNext w:val="0"/>
        <w:keepLines w:val="0"/>
        <w:widowControl w:val="1"/>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jc w:val="both"/>
        <w:keepNext w:val="0"/>
        <w:keepLines w:val="0"/>
        <w:widowControl w:val="1"/>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jc w:val="both"/>
        <w:keepNext w:val="0"/>
        <w:keepLines w:val="0"/>
        <w:widowControl w:val="1"/>
      </w:pPr>
      <w:r>
        <w:t xml:space="preserve">A battery of robustness checks anchors the table (a user-clustered bootstrap at z = +4.55, an across-fold t-test, a first-exposure fatigue control, a support audit, and a propensity-weighted outcome bracket); none overturns the ordering, and an outcome-grounded estimate on the small logging-matched subset is inconclusive, the inherent limit of public-log evaluation. Appendix A.4 reports them in full.</w:t>
      </w:r>
    </w:p>
    <w:bookmarkEnd w:id="20"/>
    <w:bookmarkStart w:id="21" w:name="a-reference-serving-architecture"/>
    <w:p>
      <w:pPr>
        <w:pStyle w:val="Heading2"/>
        <w:keepNext/>
        <w:keepLines/>
        <w:widowControl w:val="1"/>
      </w:pPr>
      <w:r>
        <w:t xml:space="preserve">6</w:t>
      </w:r>
      <w:r>
        <w:t xml:space="preserve"> </w:t>
      </w:r>
      <w:r>
        <w:t xml:space="preserve">A reference serving architecture</w:t>
      </w:r>
    </w:p>
    <w:p>
      <w:pPr>
        <w:pStyle w:val="FirstParagraph"/>
        <w:jc w:val="both"/>
        <w:keepNext w:val="0"/>
        <w:keepLines w:val="0"/>
        <w:widowControl w:val="1"/>
      </w:pPr>
      <w:r>
        <w:t xml:space="preserve">This section describes the deployment design that motivated the study: an operator-grade two-stage architecture that compiles the allocation plan into constant-time lookup serving. It is a design sketch: the experiments of Sections 3–5 validate the allocation core (plan versus serving policy at segment granularity), not the per-subscriber machinery described here.</w:t>
      </w:r>
    </w:p>
    <w:p>
      <w:pPr>
        <w:pStyle w:val="BodyText"/>
        <w:jc w:val="both"/>
        <w:keepNext w:val="0"/>
        <w:keepLines w:val="0"/>
        <w:widowControl w:val="1"/>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Dimension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 ad 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Network operator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Identity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Cookie or device fingerprint; resettable, unverified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 account; stable, verified, one per person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Inferred from behavior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Declared at subscription: age, gender, address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Financial signal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None or modeled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 spend level, content purchase history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Coarse, via 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Network-observed, continuous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Browsing coverage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Sites the network instruments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traffic through the gateway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Exposure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Per-site frequency caps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Global caps across all inventory, per subscriber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4 are a handful of aggregate behavior tiers, not individual dossiers. Not every subscriber has a profile at all: prepaid subscribers may be anonymous, which is why the clustering machinery supports membership computed from response behavior alone (Appendix A.5).</w:t>
      </w:r>
    </w:p>
    <w:p>
      <w:pPr>
        <w:pStyle w:val="BodyText"/>
        <w:jc w:val="both"/>
        <w:keepNext w:val="0"/>
        <w:keepLines w:val="0"/>
        <w:widowControl w:val="1"/>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A.5 gives the full design, its data structures, and the pacing rule; the experiments in this paper exercise the allocation core it compiles, not the per-subscriber serving machinery.</w:t>
      </w:r>
    </w:p>
    <w:bookmarkEnd w:id="21"/>
    <w:bookmarkStart w:id="22" w:name="related-work"/>
    <w:p>
      <w:pPr>
        <w:pStyle w:val="Heading2"/>
        <w:keepNext/>
        <w:keepLines/>
        <w:widowControl w:val="1"/>
      </w:pPr>
      <w:r>
        <w:t xml:space="preserve">7</w:t>
      </w:r>
      <w:r>
        <w:t xml:space="preserve"> </w:t>
      </w:r>
      <w:r>
        <w:t xml:space="preserve">Related work</w:t>
      </w:r>
    </w:p>
    <w:p>
      <w:pPr>
        <w:pStyle w:val="FirstParagraph"/>
        <w:jc w:val="both"/>
        <w:keepNext w:val="0"/>
        <w:keepLines w:val="0"/>
        <w:widowControl w:val="1"/>
      </w:pPr>
      <w:r>
        <w:t xml:space="preserve">The allocation machinery this paper uses, a transportation LP with dual-price pacing, is standard; its contribution sits in five places that the prior literature leaves open, summarized in the table before the discussion.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Line of 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Prescribes the</w:t>
            </w:r>
            <w:r>
              <w:rPr>
                <w:rFonts w:ascii="Georgia" w:hAnsi="Georgia"/>
                <w:b/>
                <w:sz w:val="19"/>
              </w:rPr>
              <w:br/>
            </w:r>
            <w:r>
              <w:rPr>
                <w:rFonts w:ascii="Georgia" w:hAnsi="Georgia"/>
                <w:b/>
                <w:sz w:val="19"/>
              </w:rPr>
              <w:t xml:space="preserve">segmentation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Pre-committed,</w:t>
            </w:r>
            <w:r>
              <w:rPr>
                <w:rFonts w:ascii="Georgia" w:hAnsi="Georgia"/>
                <w:b/>
                <w:sz w:val="19"/>
              </w:rPr>
              <w:br/>
            </w:r>
            <w:r>
              <w:rPr>
                <w:rFonts w:ascii="Georgia" w:hAnsi="Georgia"/>
                <w:b/>
                <w:sz w:val="19"/>
              </w:rPr>
              <w:t xml:space="preserve">blind test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Public-log,</w:t>
            </w:r>
            <w:r>
              <w:rPr>
                <w:rFonts w:ascii="Georgia" w:hAnsi="Georgia"/>
                <w:b/>
                <w:sz w:val="19"/>
              </w:rPr>
              <w:br/>
            </w:r>
            <w:r>
              <w:rPr>
                <w:rFonts w:ascii="Georgia" w:hAnsi="Georgia"/>
                <w:b/>
                <w:sz w:val="19"/>
              </w:rPr>
              <w:t xml:space="preserve">hardened OPE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Regime map</w:t>
            </w:r>
            <w:r>
              <w:rPr>
                <w:rFonts w:ascii="Georgia" w:hAnsi="Georgia"/>
                <w:b/>
                <w:sz w:val="19"/>
              </w:rPr>
              <w:br/>
            </w:r>
            <w:r>
              <w:rPr>
                <w:rFonts w:ascii="Georgia" w:hAnsi="Georgia"/>
                <w:b/>
                <w:sz w:val="19"/>
              </w:rPr>
              <w:t xml:space="preserve">(plan vs. adapt)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Revenue with</w:t>
            </w:r>
            <w:r>
              <w:rPr>
                <w:rFonts w:ascii="Georgia" w:hAnsi="Georgia"/>
                <w:b/>
                <w:sz w:val="19"/>
              </w:rPr>
              <w:br/>
            </w:r>
            <w:r>
              <w:rPr>
                <w:rFonts w:ascii="Georgia" w:hAnsi="Georgia"/>
                <w:b/>
                <w:sz w:val="19"/>
              </w:rPr>
              <w:t xml:space="preserve">guarantees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Online matching, AdWords [6, 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Random-permutation online LP [8–10]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Guaranteed display: forecasts, SHALE [11,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Dual mirror descent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Yield optimization, ad exchange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Budget-pacing controllers [13,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This paper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jc w:val="both"/>
        <w:keepNext w:val="0"/>
        <w:keepLines w:val="0"/>
        <w:widowControl w:val="1"/>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jc w:val="both"/>
        <w:keepNext w:val="0"/>
        <w:keepLines w:val="0"/>
        <w:widowControl w:val="1"/>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4), and how to measure a plan's realized value against strong baselines without an online experiment. Budget-pacing controllers [13, 14] are the production embodiment of the adaptive alternative and correspond to the pacing loop our serving stage carries in Appendix A.5. Relative to this line, our contributions are a pre-committable, falsifiable segmentation test and a public-log evaluation protocol; the architecture itself is a deployment sketch.</w:t>
      </w:r>
    </w:p>
    <w:p>
      <w:pPr>
        <w:pStyle w:val="BodyText"/>
        <w:jc w:val="both"/>
        <w:keepNext w:val="0"/>
        <w:keepLines w:val="0"/>
        <w:widowControl w:val="1"/>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3 applies the same discipline to allocation policies specifically, where we show single-model replay inflates lift through the plan’s own estimation noise.</w:t>
      </w:r>
    </w:p>
    <w:bookmarkEnd w:id="22"/>
    <w:bookmarkStart w:id="23" w:name="discussion"/>
    <w:p>
      <w:pPr>
        <w:pStyle w:val="Heading2"/>
        <w:keepNext/>
        <w:keepLines/>
        <w:widowControl w:val="1"/>
      </w:pPr>
      <w:r>
        <w:t xml:space="preserve">8</w:t>
      </w:r>
      <w:r>
        <w:t xml:space="preserve"> </w:t>
      </w:r>
      <w:r>
        <w:t xml:space="preserve">Discussion</w:t>
      </w:r>
    </w:p>
    <w:p>
      <w:pPr>
        <w:pStyle w:val="FirstParagraph"/>
        <w:jc w:val="both"/>
        <w:keepNext w:val="0"/>
        <w:keepLines w:val="0"/>
        <w:widowControl w:val="1"/>
      </w:pPr>
      <w:r>
        <w:t xml:space="preserve">Four design principles carry the empirical findings, persistence-chosen segments, solved prices, and a re-solve cadence, into a deployable system.</w:t>
      </w:r>
    </w:p>
    <w:p>
      <w:pPr>
        <w:pStyle w:val="BodyText"/>
        <w:jc w:val="both"/>
        <w:keepNext w:val="0"/>
        <w:keepLines w:val="0"/>
        <w:widowControl w:val="1"/>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jc w:val="both"/>
        <w:keepNext w:val="0"/>
        <w:keepLines w:val="0"/>
        <w:widowControl w:val="1"/>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jc w:val="both"/>
        <w:keepNext w:val="0"/>
        <w:keepLines w:val="0"/>
        <w:widowControl w:val="1"/>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jc w:val="both"/>
        <w:keepNext w:val="0"/>
        <w:keepLines w:val="0"/>
        <w:widowControl w:val="1"/>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23"/>
    <w:bookmarkStart w:id="24" w:name="scope-and-assumptions"/>
    <w:p>
      <w:pPr>
        <w:pStyle w:val="Heading2"/>
        <w:keepNext/>
        <w:keepLines/>
        <w:widowControl w:val="1"/>
      </w:pPr>
      <w:r>
        <w:t xml:space="preserve">9</w:t>
      </w:r>
      <w:r>
        <w:t xml:space="preserve"> </w:t>
      </w:r>
      <w:r>
        <w:t xml:space="preserve">Scope and assumptions</w:t>
      </w:r>
    </w:p>
    <w:p>
      <w:pPr>
        <w:pStyle w:val="FirstParagraph"/>
        <w:jc w:val="both"/>
        <w:keepNext w:val="0"/>
        <w:keepLines w:val="0"/>
        <w:widowControl w:val="1"/>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4),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jc w:val="both"/>
        <w:keepNext w:val="0"/>
        <w:keepLines w:val="0"/>
        <w:widowControl w:val="1"/>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A.5: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24"/>
    <w:bookmarkStart w:id="2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Q. Huangfu and J. A. J. Hall. Parallelizing the dual revised simplex method.</w:t>
      </w:r>
      <w:r>
        <w:t xml:space="preserve"> </w:t>
      </w:r>
      <w:r>
        <w:rPr>
          <w:i/>
          <w:iCs/>
        </w:rPr>
        <w:t xml:space="preserve">Mathematical Programming Computation</w:t>
      </w:r>
      <w:r>
        <w:t xml:space="preserve">, 10(1):119–142, 2018.</w:t>
      </w:r>
    </w:p>
    <w:p>
      <w:pPr>
        <w:pStyle w:val="ReferenceEntry"/>
        <w:spacing w:after="100"/>
        <w:ind w:left="475" w:hanging="475"/>
        <w:jc w:val="left"/>
        <w:keepNext w:val="0"/>
        <w:keepLines w:val="0"/>
        <w:widowControl w:val="1"/>
      </w:pPr>
      <w:r>
        <w:rPr>
          <w:rFonts w:ascii="Georgia" w:hAnsi="Georgia"/>
          <w:sz w:val="18"/>
        </w:rPr>
        <w:t xml:space="preserve">2. </w:t>
      </w:r>
      <w:r>
        <w:t xml:space="preserve">Alibaba Tianchi. Ad Display/Click Data on Taobao.com. Dataset 56, tianchi.aliyun.com/dataset/56, accessed August 2026.</w:t>
      </w:r>
    </w:p>
    <w:p>
      <w:pPr>
        <w:pStyle w:val="ReferenceEntry"/>
        <w:spacing w:after="100"/>
        <w:ind w:left="475" w:hanging="475"/>
        <w:jc w:val="left"/>
        <w:keepNext w:val="0"/>
        <w:keepLines w:val="0"/>
        <w:widowControl w:val="1"/>
      </w:pPr>
      <w:r>
        <w:rPr>
          <w:rFonts w:ascii="Georgia" w:hAnsi="Georgia"/>
          <w:sz w:val="18"/>
        </w:rPr>
        <w:t xml:space="preserve">3. </w:t>
      </w: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ReferenceEntry"/>
        <w:spacing w:after="100"/>
        <w:ind w:left="475" w:hanging="475"/>
        <w:jc w:val="left"/>
        <w:keepNext w:val="0"/>
        <w:keepLines w:val="0"/>
        <w:widowControl w:val="1"/>
      </w:pPr>
      <w:r>
        <w:rPr>
          <w:rFonts w:ascii="Georgia" w:hAnsi="Georgia"/>
          <w:sz w:val="18"/>
        </w:rPr>
        <w:t xml:space="preserve">4. </w:t>
      </w:r>
      <w:r>
        <w:t xml:space="preserve">Avazu. Click-Through Rate Prediction. Kaggle competition, kaggle.com/c/avazu-ctr-prediction, 2014, accessed August 2026.</w:t>
      </w:r>
    </w:p>
    <w:p>
      <w:pPr>
        <w:pStyle w:val="ReferenceEntry"/>
        <w:spacing w:after="100"/>
        <w:ind w:left="475" w:hanging="475"/>
        <w:jc w:val="left"/>
        <w:keepNext w:val="0"/>
        <w:keepLines w:val="0"/>
        <w:widowControl w:val="1"/>
      </w:pPr>
      <w:r>
        <w:rPr>
          <w:rFonts w:ascii="Georgia" w:hAnsi="Georgia"/>
          <w:sz w:val="18"/>
        </w:rPr>
        <w:t xml:space="preserve">5. </w:t>
      </w:r>
      <w:r>
        <w:t xml:space="preserve">A. Mehta. Online Matching and Ad Allocation.</w:t>
      </w:r>
      <w:r>
        <w:t xml:space="preserve"> </w:t>
      </w:r>
      <w:r>
        <w:rPr>
          <w:i/>
          <w:iCs/>
        </w:rPr>
        <w:t xml:space="preserve">Foundations and Trends in Theoretical Computer Science</w:t>
      </w:r>
      <w:r>
        <w:t xml:space="preserve">, 8(4):265–368, 2013.</w:t>
      </w:r>
    </w:p>
    <w:p>
      <w:pPr>
        <w:pStyle w:val="ReferenceEntry"/>
        <w:spacing w:after="100"/>
        <w:ind w:left="475" w:hanging="475"/>
        <w:jc w:val="left"/>
        <w:keepNext w:val="0"/>
        <w:keepLines w:val="0"/>
        <w:widowControl w:val="1"/>
      </w:pPr>
      <w:r>
        <w:rPr>
          <w:rFonts w:ascii="Georgia" w:hAnsi="Georgia"/>
          <w:sz w:val="18"/>
        </w:rPr>
        <w:t xml:space="preserve">6. </w:t>
      </w: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ReferenceEntry"/>
        <w:spacing w:after="100"/>
        <w:ind w:left="475" w:hanging="475"/>
        <w:jc w:val="left"/>
        <w:keepNext w:val="0"/>
        <w:keepLines w:val="0"/>
        <w:widowControl w:val="1"/>
      </w:pPr>
      <w:r>
        <w:rPr>
          <w:rFonts w:ascii="Georgia" w:hAnsi="Georgia"/>
          <w:sz w:val="18"/>
        </w:rPr>
        <w:t xml:space="preserve">7. </w:t>
      </w: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ReferenceEntry"/>
        <w:spacing w:after="100"/>
        <w:ind w:left="475" w:hanging="475"/>
        <w:jc w:val="left"/>
        <w:keepNext w:val="0"/>
        <w:keepLines w:val="0"/>
        <w:widowControl w:val="1"/>
      </w:pPr>
      <w:r>
        <w:rPr>
          <w:rFonts w:ascii="Georgia" w:hAnsi="Georgia"/>
          <w:sz w:val="18"/>
        </w:rPr>
        <w:t xml:space="preserve">8. </w:t>
      </w: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ReferenceEntry"/>
        <w:spacing w:after="100"/>
        <w:ind w:left="475" w:hanging="475"/>
        <w:jc w:val="left"/>
        <w:keepNext w:val="0"/>
        <w:keepLines w:val="0"/>
        <w:widowControl w:val="1"/>
      </w:pPr>
      <w:r>
        <w:rPr>
          <w:rFonts w:ascii="Georgia" w:hAnsi="Georgia"/>
          <w:sz w:val="18"/>
        </w:rPr>
        <w:t xml:space="preserve">9. </w:t>
      </w: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ReferenceEntry"/>
        <w:spacing w:after="100"/>
        <w:ind w:left="475" w:hanging="475"/>
        <w:jc w:val="left"/>
        <w:keepNext w:val="0"/>
        <w:keepLines w:val="0"/>
        <w:widowControl w:val="1"/>
      </w:pPr>
      <w:r>
        <w:rPr>
          <w:rFonts w:ascii="Georgia" w:hAnsi="Georgia"/>
          <w:sz w:val="18"/>
        </w:rPr>
        <w:t xml:space="preserve">10. </w:t>
      </w:r>
      <w:r>
        <w:t xml:space="preserve">S. Agrawal, Z. Wang, and Y. Ye. A dynamic near-optimal algorithm for online linear programming.</w:t>
      </w:r>
      <w:r>
        <w:t xml:space="preserve"> </w:t>
      </w:r>
      <w:r>
        <w:rPr>
          <w:i/>
          <w:iCs/>
        </w:rPr>
        <w:t xml:space="preserve">Operations Research</w:t>
      </w:r>
      <w:r>
        <w:t xml:space="preserve">, 62(4):876–890, 2014.</w:t>
      </w:r>
    </w:p>
    <w:p>
      <w:pPr>
        <w:pStyle w:val="ReferenceEntry"/>
        <w:spacing w:after="100"/>
        <w:ind w:left="475" w:hanging="475"/>
        <w:jc w:val="left"/>
        <w:keepNext w:val="0"/>
        <w:keepLines w:val="0"/>
        <w:widowControl w:val="1"/>
      </w:pPr>
      <w:r>
        <w:rPr>
          <w:rFonts w:ascii="Georgia" w:hAnsi="Georgia"/>
          <w:sz w:val="18"/>
        </w:rPr>
        <w:t xml:space="preserve">11. </w:t>
      </w: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ReferenceEntry"/>
        <w:spacing w:after="100"/>
        <w:ind w:left="475" w:hanging="475"/>
        <w:jc w:val="left"/>
        <w:keepNext w:val="0"/>
        <w:keepLines w:val="0"/>
        <w:widowControl w:val="1"/>
      </w:pPr>
      <w:r>
        <w:rPr>
          <w:rFonts w:ascii="Georgia" w:hAnsi="Georgia"/>
          <w:sz w:val="18"/>
        </w:rPr>
        <w:t xml:space="preserve">12. </w:t>
      </w: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ReferenceEntry"/>
        <w:spacing w:after="100"/>
        <w:ind w:left="475" w:hanging="475"/>
        <w:jc w:val="left"/>
        <w:keepNext w:val="0"/>
        <w:keepLines w:val="0"/>
        <w:widowControl w:val="1"/>
      </w:pPr>
      <w:r>
        <w:rPr>
          <w:rFonts w:ascii="Georgia" w:hAnsi="Georgia"/>
          <w:sz w:val="18"/>
        </w:rPr>
        <w:t xml:space="preserve">13. </w:t>
      </w: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ReferenceEntry"/>
        <w:spacing w:after="100"/>
        <w:ind w:left="475" w:hanging="475"/>
        <w:jc w:val="left"/>
        <w:keepNext w:val="0"/>
        <w:keepLines w:val="0"/>
        <w:widowControl w:val="1"/>
      </w:pPr>
      <w:r>
        <w:rPr>
          <w:rFonts w:ascii="Georgia" w:hAnsi="Georgia"/>
          <w:sz w:val="18"/>
        </w:rPr>
        <w:t xml:space="preserve">14. </w:t>
      </w: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ReferenceEntry"/>
        <w:spacing w:after="100"/>
        <w:ind w:left="475" w:hanging="475"/>
        <w:jc w:val="left"/>
        <w:keepNext w:val="0"/>
        <w:keepLines w:val="0"/>
        <w:widowControl w:val="1"/>
      </w:pPr>
      <w:r>
        <w:rPr>
          <w:rFonts w:ascii="Georgia" w:hAnsi="Georgia"/>
          <w:sz w:val="18"/>
        </w:rPr>
        <w:t xml:space="preserve">15. </w:t>
      </w: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ReferenceEntry"/>
        <w:spacing w:after="100"/>
        <w:ind w:left="475" w:hanging="475"/>
        <w:jc w:val="left"/>
        <w:keepNext w:val="0"/>
        <w:keepLines w:val="0"/>
        <w:widowControl w:val="1"/>
      </w:pPr>
      <w:r>
        <w:rPr>
          <w:rFonts w:ascii="Georgia" w:hAnsi="Georgia"/>
          <w:sz w:val="18"/>
        </w:rPr>
        <w:t xml:space="preserve">16. </w:t>
      </w: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ReferenceEntry"/>
        <w:spacing w:after="100"/>
        <w:ind w:left="475" w:hanging="475"/>
        <w:jc w:val="left"/>
        <w:keepNext w:val="0"/>
        <w:keepLines w:val="0"/>
        <w:widowControl w:val="1"/>
      </w:pPr>
      <w:r>
        <w:rPr>
          <w:rFonts w:ascii="Georgia" w:hAnsi="Georgia"/>
          <w:sz w:val="18"/>
        </w:rPr>
        <w:t xml:space="preserve">17. </w:t>
      </w: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ReferenceEntry"/>
        <w:spacing w:after="100"/>
        <w:ind w:left="475" w:hanging="475"/>
        <w:jc w:val="left"/>
        <w:keepNext w:val="0"/>
        <w:keepLines w:val="0"/>
        <w:widowControl w:val="1"/>
      </w:pPr>
      <w:r>
        <w:rPr>
          <w:rFonts w:ascii="Georgia" w:hAnsi="Georgia"/>
          <w:sz w:val="18"/>
        </w:rPr>
        <w:t xml:space="preserve">18. </w:t>
      </w: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ReferenceEntry"/>
        <w:spacing w:after="100"/>
        <w:ind w:left="475" w:hanging="475"/>
        <w:jc w:val="left"/>
        <w:keepNext w:val="0"/>
        <w:keepLines w:val="0"/>
        <w:widowControl w:val="1"/>
      </w:pPr>
      <w:r>
        <w:rPr>
          <w:rFonts w:ascii="Georgia" w:hAnsi="Georgia"/>
          <w:sz w:val="18"/>
        </w:rPr>
        <w:t xml:space="preserve">19. </w:t>
      </w: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ReferenceEntry"/>
        <w:spacing w:after="100"/>
        <w:ind w:left="475" w:hanging="475"/>
        <w:jc w:val="left"/>
        <w:keepNext w:val="0"/>
        <w:keepLines w:val="0"/>
        <w:widowControl w:val="1"/>
      </w:pPr>
      <w:r>
        <w:rPr>
          <w:rFonts w:ascii="Georgia" w:hAnsi="Georgia"/>
          <w:sz w:val="18"/>
        </w:rPr>
        <w:t xml:space="preserve">20. </w:t>
      </w: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ReferenceEntry"/>
        <w:spacing w:after="100"/>
        <w:ind w:left="475" w:hanging="475"/>
        <w:jc w:val="left"/>
        <w:keepNext w:val="0"/>
        <w:keepLines w:val="0"/>
        <w:widowControl w:val="1"/>
      </w:pPr>
      <w:r>
        <w:rPr>
          <w:rFonts w:ascii="Georgia" w:hAnsi="Georgia"/>
          <w:sz w:val="18"/>
        </w:rPr>
        <w:t xml:space="preserve">21. </w:t>
      </w: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ReferenceEntry"/>
        <w:spacing w:after="100"/>
        <w:ind w:left="475" w:hanging="475"/>
        <w:jc w:val="left"/>
        <w:keepNext w:val="0"/>
        <w:keepLines w:val="0"/>
        <w:widowControl w:val="1"/>
      </w:pPr>
      <w:r>
        <w:rPr>
          <w:rFonts w:ascii="Georgia" w:hAnsi="Georgia"/>
          <w:sz w:val="18"/>
        </w:rPr>
        <w:t xml:space="preserve">22. </w:t>
      </w: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ReferenceEntry"/>
        <w:spacing w:after="100"/>
        <w:ind w:left="475" w:hanging="475"/>
        <w:jc w:val="left"/>
        <w:keepNext w:val="0"/>
        <w:keepLines w:val="0"/>
        <w:widowControl w:val="1"/>
      </w:pPr>
      <w:r>
        <w:rPr>
          <w:rFonts w:ascii="Georgia" w:hAnsi="Georgia"/>
          <w:sz w:val="18"/>
        </w:rPr>
        <w:t xml:space="preserve">23. </w:t>
      </w: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ReferenceEntry"/>
        <w:spacing w:after="100"/>
        <w:ind w:left="475" w:hanging="475"/>
        <w:jc w:val="left"/>
        <w:keepNext w:val="0"/>
        <w:keepLines w:val="0"/>
        <w:widowControl w:val="1"/>
      </w:pPr>
      <w:r>
        <w:rPr>
          <w:rFonts w:ascii="Georgia" w:hAnsi="Georgia"/>
          <w:sz w:val="18"/>
        </w:rPr>
        <w:t xml:space="preserve">24. </w:t>
      </w: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bookmarkEnd w:id="25"/>
    <w:bookmarkStart w:id="46" w:name="appendix"/>
    <w:p>
      <w:pPr>
        <w:pStyle w:val="Heading2"/>
        <w:keepNext/>
        <w:keepLines/>
        <w:widowControl w:val="1"/>
      </w:pPr>
      <w:r>
        <w:t xml:space="preserve">Appendix</w:t>
      </w:r>
    </w:p>
    <w:bookmarkStart w:id="29" w:name="Xf4ae4abe95e7ae1cb80a4c23dcfb8a20e4835ff"/>
    <w:p>
      <w:pPr>
        <w:pStyle w:val="Heading3"/>
        <w:keepNext/>
        <w:keepLines/>
        <w:widowControl w:val="1"/>
      </w:pPr>
      <w:r>
        <w:t xml:space="preserve">A.1 Worked example: the cost of greedy serving</w:t>
      </w:r>
    </w:p>
    <w:p>
      <w:pPr>
        <w:pStyle w:val="FirstParagraph"/>
        <w:jc w:val="both"/>
        <w:keepNext w:val="0"/>
        <w:keepLines w:val="0"/>
        <w:widowControl w:val="1"/>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Subscriber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drink)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car)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u₁</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u₂</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u₃</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u₄</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0.70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476500"/>
                  <wp:effectExtent b="0" l="0" r="0" t="0"/>
                  <wp:docPr descr="Figure 2" title="" id="27" name="Picture"/>
                  <a:graphic>
                    <a:graphicData uri="http://schemas.openxmlformats.org/drawingml/2006/picture">
                      <pic:pic>
                        <pic:nvPicPr>
                          <pic:cNvPr descr="figs2col/fig2.png" id="28" name="Picture"/>
                          <pic:cNvPicPr>
                            <a:picLocks noChangeArrowheads="1" noChangeAspect="1"/>
                          </pic:cNvPicPr>
                        </pic:nvPicPr>
                        <pic:blipFill>
                          <a:blip r:embed="rId26"/>
                          <a:stretch>
                            <a:fillRect/>
                          </a:stretch>
                        </pic:blipFill>
                        <pic:spPr bwMode="auto">
                          <a:xfrm>
                            <a:off x="0" y="0"/>
                            <a:ext cx="5943600" cy="24765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2.</w:t>
      </w:r>
      <w:r>
        <w:rPr>
          <w:b w:val="0"/>
          <w:i/>
        </w:rPr>
        <w:t xml:space="preserve"> </w:t>
      </w:r>
      <w:r>
        <w:rPr>
          <w:b w:val="0"/>
          <w:i/>
        </w:rPr>
        <w:t>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jc w:val="both"/>
        <w:keepNext w:val="0"/>
        <w:keepLines w:val="0"/>
        <w:widowControl w:val="1"/>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jc w:val="both"/>
        <w:keepNext w:val="0"/>
        <w:keepLines w:val="0"/>
        <w:widowControl w:val="1"/>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jc w:val="both"/>
        <w:keepNext w:val="0"/>
        <w:keepLines w:val="0"/>
        <w:widowControl w:val="1"/>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9"/>
    <w:bookmarkStart w:id="30" w:name="a.2-proof-of-interaction-invariance"/>
    <w:p>
      <w:pPr>
        <w:pStyle w:val="Heading3"/>
        <w:keepNext/>
        <w:keepLines/>
        <w:widowControl w:val="1"/>
      </w:pPr>
      <w:r>
        <w:t xml:space="preserve">A.2 Proof of interaction invariance</w:t>
      </w:r>
    </w:p>
    <w:p>
      <w:pPr>
        <w:pStyle w:val="FirstParagraph"/>
        <w:jc w:val="both"/>
        <w:keepNext w:val="0"/>
        <w:keepLines w:val="0"/>
        <w:widowControl w:val="1"/>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bookmarkEnd w:id="30"/>
    <w:bookmarkStart w:id="34" w:name="a.3-simulation-as-calibration"/>
    <w:p>
      <w:pPr>
        <w:pStyle w:val="Heading3"/>
        <w:keepNext/>
        <w:keepLines/>
        <w:widowControl w:val="1"/>
      </w:pPr>
      <w:r>
        <w:t xml:space="preserve">A.3 Simulation as calibration</w:t>
      </w:r>
    </w:p>
    <w:p>
      <w:pPr>
        <w:pStyle w:val="FirstParagraph"/>
        <w:jc w:val="both"/>
        <w:keepNext w:val="0"/>
        <w:keepLines w:val="0"/>
        <w:widowControl w:val="1"/>
      </w:pPr>
      <w:r>
        <w:t xml:space="preserve">The regime map of Section 5 was measured by a replay harness; this section calibrates that harness on a fully synthetic market where ground truth is known and every quantity is controlled. The four-subscriber example of Appendix A.1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jc w:val="both"/>
        <w:keepNext w:val="0"/>
        <w:keepLines w:val="0"/>
        <w:widowControl w:val="1"/>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2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Measure (20 replications)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Revenue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+4.1% to +8.8%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Expected-click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+22.9% to +40.6%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Planned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91.7%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Greedy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85.4%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Quota fill, both policies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replications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641600"/>
                  <wp:effectExtent b="0" l="0" r="0" t="0"/>
                  <wp:docPr descr="Figure 3" title="" id="32" name="Picture"/>
                  <a:graphic>
                    <a:graphicData uri="http://schemas.openxmlformats.org/drawingml/2006/picture">
                      <pic:pic>
                        <pic:nvPicPr>
                          <pic:cNvPr descr="figs2col/fig3.png" id="33" name="Picture"/>
                          <pic:cNvPicPr>
                            <a:picLocks noChangeArrowheads="1" noChangeAspect="1"/>
                          </pic:cNvPicPr>
                        </pic:nvPicPr>
                        <pic:blipFill>
                          <a:blip r:embed="rId31"/>
                          <a:stretch>
                            <a:fillRect/>
                          </a:stretch>
                        </pic:blipFill>
                        <pic:spPr bwMode="auto">
                          <a:xfrm>
                            <a:off x="0" y="0"/>
                            <a:ext cx="5943600" cy="26416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Revenue captured by each policy as a share of the hindsight offline optimum, per replication. Planned allocation dominates greedy serving in all 20 replications; the two distributions do not overlap (planned minimum 91.7%, greedy maximum 91.6%).</w:t>
      </w:r>
    </w:p>
    <w:p>
      <w:pPr>
        <w:pStyle w:val="BodyText"/>
        <w:jc w:val="both"/>
        <w:keepNext w:val="0"/>
        <w:keepLines w:val="0"/>
        <w:widowControl w:val="1"/>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jc w:val="both"/>
        <w:keepNext w:val="0"/>
        <w:keepLines w:val="0"/>
        <w:widowControl w:val="1"/>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A.5’s pacing mechanism and the refinement loop exist to absorb.</w:t>
      </w:r>
    </w:p>
    <w:bookmarkEnd w:id="34"/>
    <w:bookmarkStart w:id="35" w:name="a.4-extended-robustness-checks"/>
    <w:p>
      <w:pPr>
        <w:pStyle w:val="Heading3"/>
        <w:keepNext/>
        <w:keepLines/>
        <w:widowControl w:val="1"/>
      </w:pPr>
      <w:r>
        <w:t xml:space="preserve">A.4 Extended robustness checks</w:t>
      </w:r>
    </w:p>
    <w:p>
      <w:pPr>
        <w:pStyle w:val="FirstParagraph"/>
        <w:jc w:val="both"/>
        <w:keepNext w:val="0"/>
        <w:keepLines w:val="0"/>
        <w:widowControl w:val="1"/>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45" w:name="a.5-reference-serving-architecture"/>
    <w:p>
      <w:pPr>
        <w:pStyle w:val="Heading3"/>
        <w:keepNext/>
        <w:keepLines/>
        <w:widowControl w:val="1"/>
      </w:pPr>
      <w:r>
        <w:t xml:space="preserve">A.5 Reference serving architecture</w:t>
      </w:r>
    </w:p>
    <w:p>
      <w:pPr>
        <w:pStyle w:val="FirstParagraph"/>
        <w:jc w:val="both"/>
        <w:keepNext w:val="0"/>
        <w:keepLines w:val="0"/>
        <w:widowControl w:val="1"/>
      </w:pPr>
      <w:r>
        <w:t xml:space="preserve">This appendix gives the full deployment design summarized in Section 6: the offline stage that compiles the plan and the online stage that executes it per impression. It is a design sketch; the experiments of Sections 3–5 validate the allocation core it compiles, not the per-subscriber serving machinery detailed here.</w:t>
      </w:r>
    </w:p>
    <w:p>
      <w:pPr>
        <w:pStyle w:val="BodyText"/>
        <w:jc w:val="both"/>
        <w:keepNext w:val="0"/>
        <w:keepLines w:val="0"/>
        <w:widowControl w:val="1"/>
      </w:pPr>
      <w:r>
        <w:rPr>
          <w:b/>
          <w:bCs/>
        </w:rPr>
        <w:t xml:space="preserve">offline stage: learning the inputs to the plan.</w:t>
      </w:r>
      <w:r>
        <w:t xml:space="preserve"> </w:t>
      </w: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3"/>
        </w:numPr>
        <w:ind w:left="360" w:hanging="259"/>
        <w:jc w:val="both"/>
        <w:keepNext w:val="0"/>
        <w:keepLines w:val="0"/>
        <w:widowControl w:val="1"/>
      </w:pPr>
      <w:r>
        <w:t xml:space="preserve">The distribution of (context, profile) pairs observed in the past will recur in the future.</w:t>
      </w:r>
    </w:p>
    <w:p>
      <w:pPr>
        <w:pStyle w:val="Compact"/>
        <w:numPr>
          <w:ilvl w:val="0"/>
          <w:numId w:val="1003"/>
        </w:numPr>
        <w:ind w:left="360" w:hanging="259"/>
        <w:jc w:val="both"/>
        <w:keepNext w:val="0"/>
        <w:keepLines w:val="0"/>
        <w:widowControl w:val="1"/>
      </w:pPr>
      <w:r>
        <w:t xml:space="preserve">Subscribers who responded similarly under similar conditions will continue to respond similarly.</w:t>
      </w:r>
    </w:p>
    <w:p>
      <w:pPr>
        <w:pStyle w:val="Compact"/>
        <w:numPr>
          <w:ilvl w:val="0"/>
          <w:numId w:val="1003"/>
        </w:numPr>
        <w:ind w:left="360" w:hanging="259"/>
        <w:jc w:val="both"/>
        <w:keepNext w:val="0"/>
        <w:keepLines w:val="0"/>
        <w:widowControl w:val="1"/>
      </w:pPr>
      <w:r>
        <w:t xml:space="preserve">Subscribers who respond similarly share something observable in their profiles or histories.</w:t>
      </w:r>
    </w:p>
    <w:p>
      <w:pPr>
        <w:pStyle w:val="FirstParagraph"/>
        <w:jc w:val="both"/>
        <w:keepNext w:val="0"/>
        <w:keepLines w:val="0"/>
        <w:widowControl w:val="1"/>
      </w:pPr>
      <w:r>
        <w:t xml:space="preserve">Assumption 1 justifies forecasting traffic from history; assumptions 2 and 3 justify pooling sparse per-subscriber click data into clusters that have enough volume to estimate probabilities reliably.</w:t>
      </w:r>
    </w:p>
    <w:p>
      <w:pPr>
        <w:pStyle w:val="BodyText"/>
        <w:jc w:val="both"/>
        <w:keepNext w:val="0"/>
        <w:keepLines w:val="0"/>
        <w:widowControl w:val="1"/>
      </w:pPr>
      <w:r>
        <w:rPr>
          <w:b/>
          <w:bCs/>
        </w:rPr>
        <w:t xml:space="preserve">records.</w:t>
      </w:r>
      <w:r>
        <w:t xml:space="preserve"> </w:t>
      </w:r>
      <w:r>
        <w:t xml:space="preserve">The atomic unit of evidence is an ad response record: who saw what, in what context, and whether they clicked.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 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Sunday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 (past)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p>
      <w:pPr>
        <w:pStyle w:val="BodyText"/>
        <w:jc w:val="both"/>
        <w:keepNext w:val="0"/>
        <w:keepLines w:val="0"/>
        <w:widowControl w:val="1"/>
      </w:pPr>
      <w:r>
        <w:rPr>
          <w:b/>
          <w:bCs/>
        </w:rPr>
        <w:t xml:space="preserve">and clustering.</w:t>
      </w:r>
      <w:r>
        <w:t xml:space="preserve"> </w:t>
      </w:r>
      <w:r>
        <w:t xml:space="preserve">Subscribers are clustered by a weighted distance that mixes profile similarity with response-pattern similarity: response to the same campaigns (active and past) and to similar campaigns. Each attribute contributes its own distance component: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Distance component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 affinity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By campaign category; 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Day of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 circular</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 (x, 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Straight-line distance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A.5), so predictions blend the behavior of every cluster the subscriber resembles.</w:t>
      </w:r>
    </w:p>
    <w:p>
      <w:pPr>
        <w:pStyle w:val="BodyText"/>
        <w:jc w:val="both"/>
        <w:keepNext w:val="0"/>
        <w:keepLines w:val="0"/>
        <w:widowControl w:val="1"/>
      </w:pPr>
      <w:r>
        <w:rPr>
          <w:b/>
          <w:bCs/>
        </w:rPr>
        <w:t xml:space="preserve">representation and click estimation.</w:t>
      </w:r>
      <w:r>
        <w:t xml:space="preserve"> </w:t>
      </w: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Predicted hits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10:00–12:00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Mon–Tue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 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11:00–17:00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4,000</w:t>
            </w:r>
          </w:p>
        </w:tc>
      </w:tr>
    </w:tbl>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p>
      <w:pPr>
        <w:pStyle w:val="BodyText"/>
        <w:jc w:val="both"/>
        <w:keepNext w:val="0"/>
        <w:keepLines w:val="0"/>
        <w:widowControl w:val="1"/>
      </w:pPr>
      <w:r>
        <w:rPr>
          <w:b/>
          <w:bCs/>
        </w:rPr>
        <w:t xml:space="preserve">the plan into lookup tables.</w:t>
      </w:r>
      <w:r>
        <w:t xml:space="preserve"> </w:t>
      </w: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Structure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Keyed by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Model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cluster × campaign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Targeted time slots and content categories as bit masks; planned impressions; expected 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Match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Campaigns this subscriber is eligible for under targeting rules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Cluster table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Distance to each nearby cluster (the soft-membership weights)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p>
      <w:pPr>
        <w:pStyle w:val="BodyText"/>
        <w:jc w:val="both"/>
        <w:keepNext w:val="0"/>
        <w:keepLines w:val="0"/>
        <w:widowControl w:val="1"/>
      </w:pPr>
      <w:r>
        <w:rPr>
          <w:b/>
          <w:bCs/>
        </w:rPr>
        <w:t xml:space="preserve">online stage: executing the plan in real time.</w:t>
      </w:r>
      <w:r>
        <w:t xml:space="preserve"> </w:t>
      </w: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1981200"/>
                  <wp:effectExtent b="0" l="0" r="0" t="0"/>
                  <wp:docPr descr="Figure 4" title="" id="37" name="Picture"/>
                  <a:graphic>
                    <a:graphicData uri="http://schemas.openxmlformats.org/drawingml/2006/picture">
                      <pic:pic>
                        <pic:nvPicPr>
                          <pic:cNvPr descr="figs2col/fig4.png" id="38" name="Picture"/>
                          <pic:cNvPicPr>
                            <a:picLocks noChangeArrowheads="1" noChangeAspect="1"/>
                          </pic:cNvPicPr>
                        </pic:nvPicPr>
                        <pic:blipFill>
                          <a:blip r:embed="rId36"/>
                          <a:stretch>
                            <a:fillRect/>
                          </a:stretch>
                        </pic:blipFill>
                        <pic:spPr bwMode="auto">
                          <a:xfrm>
                            <a:off x="0" y="0"/>
                            <a:ext cx="5943600" cy="19812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The closed loop. Offline analytics compiles the model and allocation plan into lookup tables; the online engine executes them per impression and streams response records back, which the next analytics cycle uses to refine clusters, probabilities, and the plan.</w:t>
      </w:r>
    </w:p>
    <w:p>
      <w:pPr>
        <w:pStyle w:val="BodyText"/>
        <w:jc w:val="both"/>
        <w:keepNext w:val="0"/>
        <w:keepLines w:val="0"/>
        <w:widowControl w:val="1"/>
      </w:pPr>
      <w:r>
        <w:rPr>
          <w:b/>
          <w:bCs/>
        </w:rPr>
        <w:t xml:space="preserve">The seven-step decision.</w:t>
      </w:r>
    </w:p>
    <w:p>
      <w:pPr>
        <w:pStyle w:val="Compact"/>
        <w:numPr>
          <w:ilvl w:val="0"/>
          <w:numId w:val="1004"/>
        </w:numPr>
        <w:ind w:left="360" w:hanging="259"/>
        <w:jc w:val="both"/>
        <w:keepNext w:val="0"/>
        <w:keepLines w:val="0"/>
        <w:widowControl w:val="1"/>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4"/>
        </w:numPr>
        <w:ind w:left="360" w:hanging="259"/>
        <w:jc w:val="both"/>
        <w:keepNext w:val="0"/>
        <w:keepLines w:val="0"/>
        <w:widowControl w:val="1"/>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4"/>
        </w:numPr>
        <w:ind w:left="360" w:hanging="259"/>
        <w:jc w:val="both"/>
        <w:keepNext w:val="0"/>
        <w:keepLines w:val="0"/>
        <w:widowControl w:val="1"/>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4"/>
        </w:numPr>
        <w:ind w:left="360" w:hanging="259"/>
        <w:jc w:val="both"/>
        <w:keepNext w:val="0"/>
        <w:keepLines w:val="0"/>
        <w:widowControl w:val="1"/>
      </w:pPr>
      <w:r>
        <w:rPr>
          <w:b/>
          <w:bCs/>
        </w:rPr>
        <w:t xml:space="preserve">Predict click probability per candidate</w:t>
      </w:r>
      <w:r>
        <w:t xml:space="preserve">model table</w:t>
      </w:r>
      <w:r>
        <w:t xml:space="preserve"> </w:t>
      </w:r>
      <w:r>
        <w:t xml:space="preserve">Blend cluster-level click rates with the soft-membership weights (Appendix A.5).</w:t>
      </w:r>
    </w:p>
    <w:p>
      <w:pPr>
        <w:pStyle w:val="Compact"/>
        <w:numPr>
          <w:ilvl w:val="0"/>
          <w:numId w:val="1004"/>
        </w:numPr>
        <w:ind w:left="360" w:hanging="259"/>
        <w:jc w:val="both"/>
        <w:keepNext w:val="0"/>
        <w:keepLines w:val="0"/>
        <w:widowControl w:val="1"/>
      </w:pPr>
      <w:r>
        <w:rPr>
          <w:b/>
          <w:bCs/>
        </w:rPr>
        <w:t xml:space="preserve">Compute pacing per candidate</w:t>
      </w:r>
      <w:r>
        <w:t xml:space="preserve">status table</w:t>
      </w:r>
      <w:r>
        <w:t xml:space="preserve"> </w:t>
      </w:r>
      <w:r>
        <w:t xml:space="preserve">Compare actual delivery against plan, prorated to this point in the flight (Appendix A.5).</w:t>
      </w:r>
    </w:p>
    <w:p>
      <w:pPr>
        <w:pStyle w:val="Compact"/>
        <w:numPr>
          <w:ilvl w:val="0"/>
          <w:numId w:val="1004"/>
        </w:numPr>
        <w:ind w:left="360" w:hanging="259"/>
        <w:jc w:val="both"/>
        <w:keepNext w:val="0"/>
        <w:keepLines w:val="0"/>
        <w:widowControl w:val="1"/>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4"/>
        </w:numPr>
        <w:ind w:left="360" w:hanging="259"/>
        <w:jc w:val="both"/>
        <w:keepNext w:val="0"/>
        <w:keepLines w:val="0"/>
        <w:widowControl w:val="1"/>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jc w:val="both"/>
        <w:keepNext w:val="0"/>
        <w:keepLines w:val="0"/>
        <w:widowControl w:val="1"/>
      </w:pPr>
      <w:r>
        <w:t xml:space="preserve">Every step is a keyed lookup, a bit-mask test, or arithmetic over a handful of rows. The expensive work (clustering, probability estimation, optimization) was all paid for offline.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3070860"/>
                  <wp:effectExtent b="0" l="0" r="0" t="0"/>
                  <wp:docPr descr="Figure 5" title="" id="40" name="Picture"/>
                  <a:graphic>
                    <a:graphicData uri="http://schemas.openxmlformats.org/drawingml/2006/picture">
                      <pic:pic>
                        <pic:nvPicPr>
                          <pic:cNvPr descr="figs2col/fig5.png" id="41" name="Picture"/>
                          <pic:cNvPicPr>
                            <a:picLocks noChangeArrowheads="1" noChangeAspect="1"/>
                          </pic:cNvPicPr>
                        </pic:nvPicPr>
                        <pic:blipFill>
                          <a:blip r:embed="rId39"/>
                          <a:stretch>
                            <a:fillRect/>
                          </a:stretch>
                        </pic:blipFill>
                        <pic:spPr bwMode="auto">
                          <a:xfrm>
                            <a:off x="0" y="0"/>
                            <a:ext cx="5943600" cy="307086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5.</w:t>
      </w:r>
      <w:r>
        <w:rPr>
          <w:b w:val="0"/>
          <w:i/>
        </w:rPr>
        <w:t xml:space="preserve"> </w:t>
      </w:r>
      <w:r>
        <w:rPr>
          <w:b w:val="0"/>
          <w:i/>
        </w:rPr>
        <w:t>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p>
      <w:pPr>
        <w:pStyle w:val="BodyText"/>
        <w:jc w:val="both"/>
        <w:keepNext w:val="0"/>
        <w:keepLines w:val="0"/>
        <w:widowControl w:val="1"/>
      </w:pPr>
      <w:r>
        <w:rPr>
          <w:b/>
          <w:bCs/>
        </w:rPr>
        <w:t xml:space="preserve">prediction by soft membership.</w:t>
      </w:r>
      <w:r>
        <w:t xml:space="preserve"> </w:t>
      </w: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BodyText"/>
        <w:jc w:val="both"/>
        <w:keepNext w:val="0"/>
        <w:keepLines w:val="0"/>
        <w:widowControl w:val="1"/>
      </w:pPr>
      <w:r>
        <w:t xml:space="preserve">p(click | C1) = 0.2 · (40 / 8,000) + 0.8 · (60 / 10,000) = 0.0058</w:t>
      </w:r>
    </w:p>
    <w:p>
      <w:pPr>
        <w:pStyle w:val="BodyText"/>
        <w:jc w:val="both"/>
        <w:keepNext w:val="0"/>
        <w:keepLines w:val="0"/>
        <w:widowControl w:val="1"/>
      </w:pPr>
      <w:r>
        <w:t xml:space="preserve">Because the subscriber borrows from every cluster they resemble, the estimate is stable even for subscribers with thin personal histories, and it is computed from two table rows and four multiplications.</w:t>
      </w:r>
    </w:p>
    <w:p>
      <w:pPr>
        <w:pStyle w:val="BodyText"/>
        <w:jc w:val="both"/>
        <w:keepNext w:val="0"/>
        <w:keepLines w:val="0"/>
        <w:widowControl w:val="1"/>
      </w:pPr>
      <w:r>
        <w:rPr>
          <w:b/>
          <w:bCs/>
        </w:rPr>
        <w:t xml:space="preserve">Pacing: planned versus actual.</w:t>
      </w:r>
      <w:r>
        <w:t xml:space="preserve"> </w:t>
      </w: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Flight elapsed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by now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Actual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8,000 × 0.33 = 2,640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10,000 × 0.50 = 5,000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7,640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7,100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performance index = actual / planned-by-now = 7,100 / 7,640 ≈ 93%</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311400"/>
                  <wp:effectExtent b="0" l="0" r="0" t="0"/>
                  <wp:docPr descr="Figure 6" title="" id="43" name="Picture"/>
                  <a:graphic>
                    <a:graphicData uri="http://schemas.openxmlformats.org/drawingml/2006/picture">
                      <pic:pic>
                        <pic:nvPicPr>
                          <pic:cNvPr descr="figs2col/fig6.png" id="44" name="Picture"/>
                          <pic:cNvPicPr>
                            <a:picLocks noChangeArrowheads="1" noChangeAspect="1"/>
                          </pic:cNvPicPr>
                        </pic:nvPicPr>
                        <pic:blipFill>
                          <a:blip r:embed="rId42"/>
                          <a:stretch>
                            <a:fillRect/>
                          </a:stretch>
                        </pic:blipFill>
                        <pic:spPr bwMode="auto">
                          <a:xfrm>
                            <a:off x="0" y="0"/>
                            <a:ext cx="5943600" cy="23114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6.</w:t>
      </w:r>
      <w:r>
        <w:rPr>
          <w:b w:val="0"/>
          <w:i/>
        </w:rPr>
        <w:t xml:space="preserve"> </w:t>
      </w:r>
      <w:r>
        <w:rPr>
          <w:b w:val="0"/>
          <w:i/>
        </w:rPr>
        <w:t>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jc w:val="both"/>
        <w:keepNext w:val="0"/>
        <w:keepLines w:val="0"/>
        <w:widowControl w:val="1"/>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Perf. index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Expected revenue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p>
      <w:pPr>
        <w:pStyle w:val="BodyText"/>
        <w:jc w:val="both"/>
        <w:keepNext w:val="0"/>
        <w:keepLines w:val="0"/>
        <w:widowControl w:val="1"/>
      </w:pPr>
      <w:r>
        <w:t xml:space="preserve">Preprint, August 2026. Code and replay harness: github.com/ApartsinProjects/optimal-impression-allocation.</w:t>
      </w:r>
    </w:p>
    <w:bookmarkEnd w:id="45"/>
    <w:bookmarkEnd w:id="4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2026-09-01T17:44:46Z</dcterms:created>
  <dcterms:modified xsi:type="dcterms:W3CDTF">2026-09-01T17:44:46Z</dcterms:modified>
</cp:coreProperties>
</file>

<file path=docProps/custom.xml><?xml version="1.0" encoding="utf-8"?>
<Properties xmlns="http://schemas.openxmlformats.org/officeDocument/2006/custom-properties" xmlns:vt="http://schemas.openxmlformats.org/officeDocument/2006/docPropsVTypes"/>
</file>