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6.png" ContentType="image/png"/>
  <Override PartName="/word/media/rId49.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A Segmentation Rule and a Regime Map for When Planning Beats Online Pacing in Quota-Constrained Ad Allocation</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Platforms that sell guaranteed impression quotas must decide which audience segments each campaign’s impressions go to. Under fixed quotas, exactly one statistical quantity can make one allocation better than another: the part of click-through rate specific to the campaign-segment pairing (the interaction), and only where it persists from the planning window into the serving window. Average campaign performance is pinned by the quotas and average segment performance by supply, so neither can change an allocation’s value. We give a pre-committable rule for choosing the segmentation an allocator should use: on each candidate axis, remove campaign and segment averages from the cell-level click rates, correlate the remaining pairing-specific residuals across adjacent planning windows, segment only on the axes where they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 The operational rule is three steps, all computable before serving: segment on the axes whose interaction persists, measure contention to decide whether allocation is worth doing, and obtain pacing prices by solving and re-solving the plan.</w:t>
      </w:r>
    </w:p>
    <w:p>
      <w:pPr>
        <w:pStyle w:val="BodyText"/>
      </w:pPr>
      <w:r>
        <w:t xml:space="preserve">Evaluation uses a replay protocol hardened against a trap we document: when one estimated click table both builds the plan and scores it, the plan harvests the table’s own estimation noise and the measured lift is inflated, a winner’s curse. Scoring every policy under an independent table fitted on the serving window,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3.5–4.5%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contended regime (+2.2 to +4.3% over greedy, z ≥ 3.4) and is the one price source positive across every contention level, dataset, and objective we test. A price vector solved once at the LP optimum survives the click objective but turns negative under contention when the objective is revenue with heterogeneous per-click and per-impression values and delivery penalties. The durable prescription is therefore to obtain prices by solving and re-solving the plan,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5"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39" w:name="simulation-as-calibration"/>
    <w:p>
      <w:pPr>
        <w:pStyle w:val="Heading2"/>
      </w:pPr>
      <w:r>
        <w:t xml:space="preserve">7</w:t>
      </w:r>
      <w:r>
        <w:t xml:space="preserve">Simulation as calibration</w:t>
      </w:r>
    </w:p>
    <w:p>
      <w:pPr>
        <w:pStyle w:val="FirstParagraph"/>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7" name="Picture"/>
                  <a:graphic>
                    <a:graphicData uri="http://schemas.openxmlformats.org/drawingml/2006/picture">
                      <pic:pic>
                        <pic:nvPicPr>
                          <pic:cNvPr descr="file:///E:/tmp/claude/E--Projects-Submitted-MobileAd-Comverse/464e82cd-870f-4dc1-b795-92348cf1a9b8/scratchpad/figs/fig3.png" id="38" name="Picture"/>
                          <pic:cNvPicPr>
                            <a:picLocks noChangeArrowheads="1" noChangeAspect="1"/>
                          </pic:cNvPicPr>
                        </pic:nvPicPr>
                        <pic:blipFill>
                          <a:blip r:embed="rId36"/>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39"/>
    <w:bookmarkStart w:id="40"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40"/>
    <w:bookmarkStart w:id="41" w:name="related-work"/>
    <w:p>
      <w:pPr>
        <w:pStyle w:val="Heading2"/>
      </w:pPr>
      <w:r>
        <w:t xml:space="preserve">9</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41"/>
    <w:bookmarkStart w:id="42" w:name="discussion"/>
    <w:p>
      <w:pPr>
        <w:pStyle w:val="Heading2"/>
      </w:pPr>
      <w:r>
        <w:t xml:space="preserve">10</w:t>
      </w:r>
      <w:r>
        <w:t xml:space="preserve">Discussion</w:t>
      </w:r>
    </w:p>
    <w:p>
      <w:pPr>
        <w:pStyle w:val="FirstParagraph"/>
      </w:pPr>
      <w:r>
        <w:t xml:space="preserve">Four design principles carry the empirical findings, persistence-chosen segments, solved prices, and a re-solve cadence, into a deployable system.</w:t>
      </w:r>
    </w:p>
    <w:p>
      <w:pPr>
        <w:pStyle w:val="BodyText"/>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42"/>
    <w:bookmarkStart w:id="43"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3"/>
    <w:bookmarkStart w:id="62" w:name="X768eda5dc47c9e2fbd56372e290aa93bfab37c7"/>
    <w:p>
      <w:pPr>
        <w:pStyle w:val="Heading2"/>
      </w:pPr>
      <w:r>
        <w:t xml:space="preserve">Appendix A. Reference serving architecture</w:t>
      </w:r>
    </w:p>
    <w:p>
      <w:pPr>
        <w:pStyle w:val="FirstParagraph"/>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44" w:name="Xa31f11580875970f34b111f76672a43985c73f8"/>
    <w:p>
      <w:pPr>
        <w:pStyle w:val="Heading3"/>
      </w:pPr>
      <w:r>
        <w:t xml:space="preserve">A.1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4"/>
    <w:bookmarkStart w:id="45" w:name="a.1.1-response-records"/>
    <w:p>
      <w:pPr>
        <w:pStyle w:val="Heading3"/>
      </w:pPr>
      <w:r>
        <w:t xml:space="preserve">A.1.1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45"/>
    <w:bookmarkStart w:id="46" w:name="a.1.2-proximity-and-clustering"/>
    <w:p>
      <w:pPr>
        <w:pStyle w:val="Heading3"/>
      </w:pPr>
      <w:r>
        <w:t xml:space="preserve">A.1.2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46"/>
    <w:bookmarkStart w:id="47" w:name="X8b2446043a77ae8c428cb2f72851e920fe1c4ed"/>
    <w:p>
      <w:pPr>
        <w:pStyle w:val="Heading3"/>
      </w:pPr>
      <w:r>
        <w:t xml:space="preserve">A.1.3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7"/>
    <w:bookmarkStart w:id="48" w:name="X2728b61a2ed01e7aae0fb7efa1e42ffc1e64944"/>
    <w:p>
      <w:pPr>
        <w:pStyle w:val="Heading3"/>
      </w:pPr>
      <w:r>
        <w:t xml:space="preserve">A.1.4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8"/>
    <w:bookmarkStart w:id="52" w:name="X4b4881ba4a2c69f1986b51a46ce2020ac7b4091"/>
    <w:p>
      <w:pPr>
        <w:pStyle w:val="Heading3"/>
      </w:pPr>
      <w:r>
        <w:t xml:space="preserve">A.2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0" name="Picture"/>
                  <a:graphic>
                    <a:graphicData uri="http://schemas.openxmlformats.org/drawingml/2006/picture">
                      <pic:pic>
                        <pic:nvPicPr>
                          <pic:cNvPr descr="file:///E:/tmp/claude/E--Projects-Submitted-MobileAd-Comverse/464e82cd-870f-4dc1-b795-92348cf1a9b8/scratchpad/figs/fig4.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52"/>
    <w:bookmarkStart w:id="56" w:name="a.2.1-the-seven-step-decision"/>
    <w:p>
      <w:pPr>
        <w:pStyle w:val="Heading3"/>
      </w:pPr>
      <w:r>
        <w:t xml:space="preserve">A.2.1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4" name="Picture"/>
                  <a:graphic>
                    <a:graphicData uri="http://schemas.openxmlformats.org/drawingml/2006/picture">
                      <pic:pic>
                        <pic:nvPicPr>
                          <pic:cNvPr descr="file:///E:/tmp/claude/E--Projects-Submitted-MobileAd-Comverse/464e82cd-870f-4dc1-b795-92348cf1a9b8/scratchpad/figs/fig5.png" id="55" name="Picture"/>
                          <pic:cNvPicPr>
                            <a:picLocks noChangeArrowheads="1" noChangeAspect="1"/>
                          </pic:cNvPicPr>
                        </pic:nvPicPr>
                        <pic:blipFill>
                          <a:blip r:embed="rId53"/>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56"/>
    <w:bookmarkStart w:id="57" w:name="X177b7c0bc4741b5b22d40a3d16b0d67309e222e"/>
    <w:p>
      <w:pPr>
        <w:pStyle w:val="Heading3"/>
      </w:pPr>
      <w:r>
        <w:t xml:space="preserve">A.2.2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7"/>
    <w:bookmarkStart w:id="61" w:name="a.2.3-pacing-planned-versus-actual"/>
    <w:p>
      <w:pPr>
        <w:pStyle w:val="Heading3"/>
      </w:pPr>
      <w:r>
        <w:t xml:space="preserve">A.2.3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61"/>
    <w:bookmarkEnd w:id="62"/>
    <w:bookmarkStart w:id="63"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2026-08-31T13:03:09Z</dcterms:created>
  <dcterms:modified xsi:type="dcterms:W3CDTF">2026-08-31T13:03:09Z</dcterms:modified>
</cp:coreProperties>
</file>

<file path=docProps/custom.xml><?xml version="1.0" encoding="utf-8"?>
<Properties xmlns="http://schemas.openxmlformats.org/officeDocument/2006/custom-properties" xmlns:vt="http://schemas.openxmlformats.org/officeDocument/2006/docPropsVTypes"/>
</file>