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7.png" ContentType="image/png"/>
  <Override PartName="/word/media/rId41.png" ContentType="image/png"/>
  <Override PartName="/word/media/rId54.png" ContentType="image/png"/>
  <Override PartName="/word/media/rId5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Preprint</w:t>
      </w:r>
    </w:p>
    <w:bookmarkStart w:id="25" w:name="segment-where-the-interaction-persists"/>
    <w:p>
      <w:pPr>
        <w:pStyle w:val="Heading1"/>
      </w:pPr>
      <w:r>
        <w:t xml:space="preserve">Segment Where the Interaction Persists</w:t>
      </w:r>
    </w:p>
    <w:p>
      <w:pPr>
        <w:pStyle w:val="FirstParagraph"/>
      </w:pPr>
      <w:r>
        <w:t xml:space="preserve">A Segmentation Rule and a Regime Map for When Planning Beats Online Pacing in Quota-Constrained Ad Allocation</w:t>
      </w:r>
    </w:p>
    <w:p>
      <w:pPr>
        <w:pStyle w:val="BodyText"/>
      </w:pPr>
      <w:r>
        <w:t xml:space="preserve">Alexander Apartsin</w:t>
      </w:r>
      <w:r>
        <w:rPr>
          <w:vertAlign w:val="superscript"/>
        </w:rPr>
        <w:t xml:space="preserve">1</w:t>
      </w:r>
      <w:r>
        <w:t xml:space="preserve"> · Yehudit Aperstein</w:t>
      </w:r>
      <w:r>
        <w:rPr>
          <w:vertAlign w:val="superscript"/>
        </w:rPr>
        <w:t xml:space="preserve">2</w:t>
      </w:r>
    </w:p>
    <w:p>
      <w:pPr>
        <w:pStyle w:val="BodyText"/>
      </w:pPr>
      <w:r>
        <w:rPr>
          <w:vertAlign w:val="superscript"/>
        </w:rPr>
        <w:t xml:space="preserve">1</w:t>
      </w:r>
      <w:r>
        <w:t xml:space="preserve">School of Computer Science, Faculty of Sciences, Holon Institute of Technology (HIT), Holon, Israel</w:t>
      </w:r>
      <w:r>
        <w:br/>
      </w:r>
      <w:r>
        <w:rPr>
          <w:vertAlign w:val="superscript"/>
        </w:rPr>
        <w:t xml:space="preserve">2</w:t>
      </w:r>
      <w:r>
        <w:t xml:space="preserve">Intelligent Systems, Afeka Academic College of Engineering, Tel-Aviv, Israel</w:t>
      </w:r>
    </w:p>
    <w:p>
      <w:pPr>
        <w:pStyle w:val="BodyText"/>
      </w:pPr>
      <w:r>
        <w:t xml:space="preserve">Download</w:t>
      </w:r>
      <w:r>
        <w:t xml:space="preserve">  </w:t>
      </w:r>
      <w:r>
        <w:t xml:space="preserve"> </w:t>
      </w:r>
      <w:r>
        <w:t xml:space="preserve">LaTeX two-column </w:t>
      </w:r>
      <w:hyperlink r:id="rId20">
        <w:r>
          <w:rPr>
            <w:rStyle w:val="Hyperlink"/>
          </w:rPr>
          <w:t xml:space="preserve">PDF</w:t>
        </w:r>
      </w:hyperlink>
      <w:r>
        <w:t xml:space="preserve"> · </w:t>
      </w:r>
      <w:hyperlink r:id="rId21">
        <w:r>
          <w:rPr>
            <w:rStyle w:val="Hyperlink"/>
          </w:rPr>
          <w:t xml:space="preserve">TeX</w:t>
        </w:r>
      </w:hyperlink>
      <w:r>
        <w:t xml:space="preserve"> </w:t>
      </w:r>
      <w:r>
        <w:t xml:space="preserve">|</w:t>
      </w:r>
      <w:r>
        <w:t xml:space="preserve"> </w:t>
      </w:r>
      <w:r>
        <w:t xml:space="preserve">Word </w:t>
      </w:r>
      <w:hyperlink r:id="rId22">
        <w:r>
          <w:rPr>
            <w:rStyle w:val="Hyperlink"/>
          </w:rPr>
          <w:t xml:space="preserve">two-col</w:t>
        </w:r>
      </w:hyperlink>
      <w:r>
        <w:t xml:space="preserve"> · </w:t>
      </w:r>
      <w:hyperlink r:id="rId23">
        <w:r>
          <w:rPr>
            <w:rStyle w:val="Hyperlink"/>
          </w:rPr>
          <w:t xml:space="preserve">one-col</w:t>
        </w:r>
      </w:hyperlink>
      <w:r>
        <w:t xml:space="preserve"> </w:t>
      </w:r>
      <w:r>
        <w:t xml:space="preserve">|</w:t>
      </w:r>
      <w:r>
        <w:t xml:space="preserve"> </w:t>
      </w:r>
      <w:r>
        <w:t xml:space="preserve">Web </w:t>
      </w:r>
      <w:hyperlink r:id="rId24">
        <w:r>
          <w:rPr>
            <w:rStyle w:val="Hyperlink"/>
          </w:rPr>
          <w:t xml:space="preserve">PDF</w:t>
        </w:r>
      </w:hyperlink>
    </w:p>
    <w:bookmarkEnd w:id="25"/>
    <w:bookmarkStart w:id="26" w:name="abstract"/>
    <w:p>
      <w:pPr>
        <w:pStyle w:val="Heading2"/>
      </w:pPr>
      <w:r>
        <w:t xml:space="preserve">Abstract</w:t>
      </w:r>
    </w:p>
    <w:p>
      <w:pPr>
        <w:pStyle w:val="FirstParagraph"/>
      </w:pPr>
      <w:r>
        <w:t xml:space="preserve">A platform that sells guaranteed impression quotas must decide, for each arriving user, which campaign’s booked impressions to spend, across many fine audience segments and under scarce supply. We show that with quotas fixed, only one thing can make one allocation beat another: the slice of click-through rate specific to a campaign-and-segment pairing, their</w:t>
      </w:r>
      <w:r>
        <w:t xml:space="preserve"> </w:t>
      </w:r>
      <w:r>
        <w:rPr>
          <w:i/>
          <w:iCs/>
        </w:rPr>
        <w:t xml:space="preserve">interaction</w:t>
      </w:r>
      <w:r>
        <w:t xml:space="preserve">, and only where it persists from one planning window to the next. This gives a simple rule an operator can commit to in advance: segment on the axes whose interaction persists, at the depth the per-cell data supports.</w:t>
      </w:r>
    </w:p>
    <w:p>
      <w:pPr>
        <w:pStyle w:val="BodyText"/>
      </w:pPr>
      <w:r>
        <w:t xml:space="preserve">On three public advertising logs (Taobao, Avazu, Outbrain), evaluated with a replay protocol hardened against a self-scoring bias and checked against a known-truth benchmark, the rule picks the segmentation that pays, and planning the allocation beats both greedy serving and online price-learning pacing. Two conditions set the payoff: the market must be contended, because an uncontended market yields little to allocate whatever the segmentation; and pacing prices should be obtained by solving and re-solving the plan, not learned online, which fails under heavy contention. The result is a three-step rule an operator can act on: probe persistence to choose the segments, measure contention to decide whether planning is worth it, and solve for the pacing prices.</w:t>
      </w:r>
    </w:p>
    <w:bookmarkEnd w:id="26"/>
    <w:bookmarkStart w:id="27" w:name="introduction"/>
    <w:p>
      <w:pPr>
        <w:pStyle w:val="Heading2"/>
      </w:pPr>
      <w:r>
        <w:t xml:space="preserve">1</w:t>
      </w:r>
      <w:r>
        <w:t xml:space="preserve">Introduction</w:t>
      </w:r>
    </w:p>
    <w:p>
      <w:pPr>
        <w:pStyle w:val="FirstParagraph"/>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This study applies to that class of market. Its originating instance is the mobile-operator system of Section 8, its largest current instance is retail media, and the public commerce-media log we evaluate on (Taobao) comes from inside it.</w:t>
      </w:r>
    </w:p>
    <w:p>
      <w:pPr>
        <w:pStyle w:val="BodyText"/>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and solving for the prices does not. The map holds on a second dataset and under a revenue objective with delivery guarantees.</w:t>
      </w:r>
    </w:p>
    <w:p>
      <w:pPr>
        <w:pStyle w:val="BodyText"/>
      </w:pPr>
      <w:r>
        <w:t xml:space="preserve">Together these compose a three-step rule that the planning team of any retail-media network or operator-owned platform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pPr>
      <w:r>
        <w:t xml:space="preserve">Section 2 quantifies the cost of greedy serving on a minimal instance and Section 3 states the allocation program and its interaction-invariance structure. Section 4 develops the replay protocol and validates it against a known ground truth, Section 5 the persistence rule, and Section 6 the regime map, its cross-dataset and revenue-objective replications. Section 7 calibrates the harness on a synthetic market with known ground truth, Section 8 summarizes the reference serving architecture that motivated the study, with the full design in Appendix A, and Section 9 situates the work in the online-allocation and offline-evaluation literature. Sections 10 and 11 close with design principles and scope.</w:t>
      </w:r>
    </w:p>
    <w:bookmarkEnd w:id="27"/>
    <w:bookmarkStart w:id="31" w:name="the-allocation-problem-a-worked-example"/>
    <w:p>
      <w:pPr>
        <w:pStyle w:val="Heading2"/>
      </w:pPr>
      <w:r>
        <w:t xml:space="preserve">2</w:t>
      </w:r>
      <w:r>
        <w:t xml:space="preserve">The allocation problem: a worked example</w:t>
      </w:r>
    </w:p>
    <w:p>
      <w:pPr>
        <w:pStyle w:val="FirstParagraph"/>
      </w:pPr>
      <w:r>
        <w:t xml:space="preserve">Consider the smallest instance in which greedy serving and planned allocation come apart.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Subscriber</w:t>
            </w:r>
          </w:p>
        </w:tc>
        <w:tc>
          <w:tcPr/>
          <w:p>
            <w:pPr>
              <w:pStyle w:val="Compact"/>
              <w:jc w:val="left"/>
            </w:pPr>
            <w:r>
              <w:t xml:space="preserve">P(click | drink)</w:t>
            </w:r>
          </w:p>
        </w:tc>
        <w:tc>
          <w:tcPr/>
          <w:p>
            <w:pPr>
              <w:pStyle w:val="Compact"/>
              <w:jc w:val="left"/>
            </w:pPr>
            <w:r>
              <w:t xml:space="preserve">P(click | car)</w:t>
            </w:r>
          </w:p>
        </w:tc>
      </w:tr>
      <w:tr>
        <w:tc>
          <w:tcPr/>
          <w:p>
            <w:pPr>
              <w:pStyle w:val="Compact"/>
              <w:jc w:val="left"/>
            </w:pPr>
            <w:r>
              <w:t xml:space="preserve">u₁</w:t>
            </w:r>
          </w:p>
        </w:tc>
        <w:tc>
          <w:tcPr/>
          <w:p>
            <w:pPr>
              <w:pStyle w:val="Compact"/>
              <w:jc w:val="left"/>
            </w:pPr>
            <w:r>
              <w:t xml:space="preserve">0.10</w:t>
            </w:r>
          </w:p>
        </w:tc>
        <w:tc>
          <w:tcPr/>
          <w:p>
            <w:pPr>
              <w:pStyle w:val="Compact"/>
              <w:jc w:val="left"/>
            </w:pPr>
            <w:r>
              <w:t xml:space="preserve">0.80</w:t>
            </w:r>
          </w:p>
        </w:tc>
      </w:tr>
      <w:tr>
        <w:tc>
          <w:tcPr/>
          <w:p>
            <w:pPr>
              <w:pStyle w:val="Compact"/>
              <w:jc w:val="left"/>
            </w:pPr>
            <w:r>
              <w:t xml:space="preserve">u₂</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u₃</w:t>
            </w:r>
          </w:p>
        </w:tc>
        <w:tc>
          <w:tcPr/>
          <w:p>
            <w:pPr>
              <w:pStyle w:val="Compact"/>
              <w:jc w:val="left"/>
            </w:pPr>
            <w:r>
              <w:t xml:space="preserve">0.20</w:t>
            </w:r>
          </w:p>
        </w:tc>
        <w:tc>
          <w:tcPr/>
          <w:p>
            <w:pPr>
              <w:pStyle w:val="Compact"/>
              <w:jc w:val="left"/>
            </w:pPr>
            <w:r>
              <w:t xml:space="preserve">0.60</w:t>
            </w:r>
          </w:p>
        </w:tc>
      </w:tr>
      <w:tr>
        <w:tc>
          <w:tcPr/>
          <w:p>
            <w:pPr>
              <w:pStyle w:val="Compact"/>
              <w:jc w:val="left"/>
            </w:pPr>
            <w:r>
              <w:t xml:space="preserve">u₄</w:t>
            </w:r>
          </w:p>
        </w:tc>
        <w:tc>
          <w:tcPr/>
          <w:p>
            <w:pPr>
              <w:pStyle w:val="Compact"/>
              <w:jc w:val="left"/>
            </w:pPr>
            <w:r>
              <w:t xml:space="preserve">0.40</w:t>
            </w:r>
          </w:p>
        </w:tc>
        <w:tc>
          <w:tcPr/>
          <w:p>
            <w:pPr>
              <w:pStyle w:val="Compact"/>
              <w:jc w:val="left"/>
            </w:pPr>
            <w:r>
              <w:t xml:space="preserve">0.70</w:t>
            </w:r>
          </w:p>
        </w:tc>
      </w:tr>
    </w:tbl>
    <w:p>
      <w:pPr>
        <w:pStyle w:val="BodyText"/>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222500"/>
                  <wp:effectExtent b="0" l="0" r="0" t="0"/>
                  <wp:docPr descr="" title="" id="29" name="Picture"/>
                  <a:graphic>
                    <a:graphicData uri="http://schemas.openxmlformats.org/drawingml/2006/picture">
                      <pic:pic>
                        <pic:nvPicPr>
                          <pic:cNvPr descr="file:///E:/tmp/claude/E--Projects-Submitted-MobileAd-Comverse/464e82cd-870f-4dc1-b795-92348cf1a9b8/scratchpad/figs/fig1.png" id="30" name="Picture"/>
                          <pic:cNvPicPr>
                            <a:picLocks noChangeArrowheads="1" noChangeAspect="1"/>
                          </pic:cNvPicPr>
                        </pic:nvPicPr>
                        <pic:blipFill>
                          <a:blip r:embed="rId28"/>
                          <a:stretch>
                            <a:fillRect/>
                          </a:stretch>
                        </pic:blipFill>
                        <pic:spPr bwMode="auto">
                          <a:xfrm>
                            <a:off x="0" y="0"/>
                            <a:ext cx="5334000" cy="2222500"/>
                          </a:xfrm>
                          <a:prstGeom prst="rect">
                            <a:avLst/>
                          </a:prstGeom>
                          <a:noFill/>
                          <a:ln w="9525">
                            <a:noFill/>
                            <a:headEnd/>
                            <a:tailEnd/>
                          </a:ln>
                        </pic:spPr>
                      </pic:pic>
                    </a:graphicData>
                  </a:graphic>
                </wp:inline>
              </w:drawing>
            </w:r>
          </w:p>
        </w:tc>
      </w:tr>
    </w:tbl>
    <w:p>
      <w:pPr>
        <w:pStyle w:val="ImageCaption"/>
      </w:pPr>
      <w:r>
        <w:t xml:space="preserve">Figure 1.</w:t>
      </w:r>
      <w:r>
        <w:t xml:space="preserve"> </w:t>
      </w:r>
      <w:r>
        <w:t xml:space="preserve">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31"/>
    <w:bookmarkStart w:id="33" w:name="formulation"/>
    <w:p>
      <w:pPr>
        <w:pStyle w:val="Heading2"/>
      </w:pPr>
      <w:r>
        <w:t xml:space="preserve">3</w:t>
      </w:r>
      <w:r>
        <w:t xml:space="preserve">Formulation</w:t>
      </w:r>
    </w:p>
    <w:p>
      <w:pPr>
        <w:pStyle w:val="FirstParagraph"/>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SourceCode"/>
      </w:pPr>
      <w:r>
        <w:rPr>
          <w:rStyle w:val="VerbatimChar"/>
        </w:rPr>
        <w:t xml:space="preserve">maximize    Σc,s  xc,s · ( rc + qc · pc,s )</w:t>
      </w:r>
      <w:r>
        <w:br/>
      </w:r>
      <w:r>
        <w:br/>
      </w:r>
      <w:r>
        <w:rPr>
          <w:rStyle w:val="VerbatimChar"/>
        </w:rPr>
        <w:t xml:space="preserve">subject to  Σc xc,s  ≤  Hs        (segment supply)</w:t>
      </w:r>
      <w:r>
        <w:br/>
      </w:r>
      <w:r>
        <w:rPr>
          <w:rStyle w:val="VerbatimChar"/>
        </w:rPr>
        <w:t xml:space="preserve">            Σs xc,s  ≤  Qc        (campaign quota)</w:t>
      </w:r>
      <w:r>
        <w:br/>
      </w:r>
      <w:r>
        <w:rPr>
          <w:rStyle w:val="VerbatimChar"/>
        </w:rPr>
        <w:t xml:space="preserve">            xc,s = 0 where targeting excludes (c, s)</w:t>
      </w:r>
      <w:r>
        <w:br/>
      </w:r>
      <w:r>
        <w:rPr>
          <w:rStyle w:val="VerbatimChar"/>
        </w:rPr>
        <w:t xml:space="preserve">            xc,s  ≥  0</w:t>
      </w:r>
    </w:p>
    <w:p>
      <w:pPr>
        <w:pStyle w:val="FirstParagraph"/>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32" w:name="Xb8b18ac5c60ec5742410ace98e579bc138671d3"/>
    <w:p>
      <w:pPr>
        <w:pStyle w:val="Heading3"/>
      </w:pPr>
      <w:r>
        <w:t xml:space="preserve">3.1 Interaction invariance under fixed margins</w:t>
      </w:r>
    </w:p>
    <w:p>
      <w:pPr>
        <w:pStyle w:val="FirstParagraph"/>
      </w:pPr>
      <w:r>
        <w:t xml:space="preserve">The value matrix admits an additive decomposition into a campaign main effect, a segment main effect, and an interaction residual,</w:t>
      </w:r>
    </w:p>
    <w:p>
      <w:pPr>
        <w:pStyle w:val="SourceCode"/>
      </w:pPr>
      <w:r>
        <w:rPr>
          <w:rStyle w:val="VerbatimChar"/>
        </w:rPr>
        <w:t xml:space="preserve">vcs  =  ac  +  bs  +  gcs,</w:t>
      </w:r>
    </w:p>
    <w:p>
      <w:pPr>
        <w:pStyle w:val="FirstParagraph"/>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SourceCode"/>
      </w:pPr>
      <w:r>
        <w:rPr>
          <w:rStyle w:val="VerbatimChar"/>
        </w:rPr>
        <w:t xml:space="preserve">V(x) − V(x′)  =  Σc,s ( xc,s − x′c,s ) · gc,s.</w:t>
      </w:r>
    </w:p>
    <w:p>
      <w:pPr>
        <w:pStyle w:val="FirstParagraph"/>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p>
      <w:pPr>
        <w:pStyle w:val="BodyText"/>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5 turns this into a selection rule. Four corollaries fix the scope precisely.</w:t>
      </w:r>
    </w:p>
    <w:p>
      <w:pPr>
        <w:pStyle w:val="Compact"/>
        <w:numPr>
          <w:ilvl w:val="0"/>
          <w:numId w:val="1001"/>
        </w:numPr>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pPr>
      <w:r>
        <w:rPr>
          <w:b/>
          <w:bCs/>
        </w:rPr>
        <w:t xml:space="preserve">Over-subscription.</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6 probe, and it is why policy orderings there differ from the feasible case.</w:t>
      </w:r>
    </w:p>
    <w:bookmarkEnd w:id="32"/>
    <w:bookmarkEnd w:id="33"/>
    <w:bookmarkStart w:id="35" w:name="replay-evaluation-protocol"/>
    <w:p>
      <w:pPr>
        <w:pStyle w:val="Heading2"/>
      </w:pPr>
      <w:r>
        <w:t xml:space="preserve">4</w:t>
      </w:r>
      <w:r>
        <w:t xml:space="preserve">Replay evaluation protocol</w:t>
      </w:r>
    </w:p>
    <w:p>
      <w:pPr>
        <w:pStyle w:val="FirstParagraph"/>
      </w:pPr>
      <w:r>
        <w:t xml:space="preserve">A synthetic market controls everything (Section 7); real logs control nothing, which is the point. The core experiments replay the public Taobao display-advertising dataset [2, 3]: 26.6 million impressions over 8 days in May 2017, roughly 1.1 million users with declared demographics, and explicit campaign identifiers, an in-vertical commerce-media log rather than a distant analog to an operator’s data (Sections 5 and 6 add Avazu and Outbrain as the churn and contention boundaries).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rests almost entirely on well-supported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Appendix A.2 (soft-membership blending, frequency caps, threshold pacing) operate below this granularity and are not exercised by these experiments.</w:t>
      </w:r>
    </w:p>
    <w:bookmarkStart w:id="34" w:name="X888dfabe7f5ac870af14768d223c176646b6318"/>
    <w:p>
      <w:pPr>
        <w:pStyle w:val="Heading3"/>
      </w:pPr>
      <w:r>
        <w:t xml:space="preserve">4.1</w:t>
      </w:r>
      <w:r>
        <w:t xml:space="preserve">Does model-scored replay recover the truth?</w:t>
      </w:r>
    </w:p>
    <w:p>
      <w:pPr>
        <w:pStyle w:val="FirstParagraph"/>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34"/>
    <w:bookmarkEnd w:id="35"/>
    <w:bookmarkStart w:id="36" w:name="the-persistence-rule"/>
    <w:p>
      <w:pPr>
        <w:pStyle w:val="Heading2"/>
      </w:pPr>
      <w:r>
        <w:t xml:space="preserve">5</w:t>
      </w:r>
      <w:r>
        <w:t xml:space="preserve">The persistence rule</w:t>
      </w:r>
    </w:p>
    <w:p>
      <w:pPr>
        <w:pStyle w:val="FirstParagraph"/>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Segmentation axis</w:t>
            </w:r>
          </w:p>
        </w:tc>
        <w:tc>
          <w:tcPr/>
          <w:p>
            <w:pPr>
              <w:pStyle w:val="Compact"/>
              <w:jc w:val="left"/>
            </w:pPr>
            <w:r>
              <w:t xml:space="preserve">Interaction persistence (r)</w:t>
            </w:r>
          </w:p>
        </w:tc>
        <w:tc>
          <w:tcPr/>
          <w:p>
            <w:pPr>
              <w:pStyle w:val="Compact"/>
              <w:jc w:val="left"/>
            </w:pPr>
            <w:r>
              <w:t xml:space="preserve">Interaction size beyond noise</w:t>
            </w:r>
          </w:p>
        </w:tc>
      </w:tr>
      <w:tr>
        <w:tc>
          <w:tcPr/>
          <w:p>
            <w:pPr>
              <w:pStyle w:val="Compact"/>
              <w:jc w:val="left"/>
            </w:pPr>
            <w:r>
              <w:t xml:space="preserve">Activity tier (usage volume)</w:t>
            </w:r>
          </w:p>
        </w:tc>
        <w:tc>
          <w:tcPr/>
          <w:p>
            <w:pPr>
              <w:pStyle w:val="Compact"/>
              <w:jc w:val="left"/>
            </w:pPr>
            <w:r>
              <w:t xml:space="preserve">0.48–0.54</w:t>
            </w:r>
          </w:p>
        </w:tc>
        <w:tc>
          <w:tcPr/>
          <w:p>
            <w:pPr>
              <w:pStyle w:val="Compact"/>
              <w:jc w:val="left"/>
            </w:pPr>
            <w:r>
              <w:t xml:space="preserve">~1pp on a 5.5pp base</w:t>
            </w:r>
          </w:p>
        </w:tc>
      </w:tr>
      <w:tr>
        <w:tc>
          <w:tcPr/>
          <w:p>
            <w:pPr>
              <w:pStyle w:val="Compact"/>
              <w:jc w:val="left"/>
            </w:pPr>
            <w:r>
              <w:t xml:space="preserve">Gender × age</w:t>
            </w:r>
          </w:p>
        </w:tc>
        <w:tc>
          <w:tcPr/>
          <w:p>
            <w:pPr>
              <w:pStyle w:val="Compact"/>
              <w:jc w:val="left"/>
            </w:pPr>
            <w:r>
              <w:t xml:space="preserve">0.28</w:t>
            </w:r>
          </w:p>
        </w:tc>
        <w:tc>
          <w:tcPr/>
          <w:p>
            <w:pPr>
              <w:pStyle w:val="Compact"/>
              <w:jc w:val="left"/>
            </w:pPr>
            <w:r>
              <w:t xml:space="preserve">~0.5pp</w:t>
            </w:r>
          </w:p>
        </w:tc>
      </w:tr>
      <w:tr>
        <w:tc>
          <w:tcPr/>
          <w:p>
            <w:pPr>
              <w:pStyle w:val="Compact"/>
              <w:jc w:val="left"/>
            </w:pPr>
            <w:r>
              <w:t xml:space="preserve">Hour × position slot</w:t>
            </w:r>
          </w:p>
        </w:tc>
        <w:tc>
          <w:tcPr/>
          <w:p>
            <w:pPr>
              <w:pStyle w:val="Compact"/>
              <w:jc w:val="left"/>
            </w:pPr>
            <w:r>
              <w:t xml:space="preserve">0.08</w:t>
            </w:r>
          </w:p>
        </w:tc>
        <w:tc>
          <w:tcPr/>
          <w:p>
            <w:pPr>
              <w:pStyle w:val="Compact"/>
              <w:jc w:val="left"/>
            </w:pPr>
            <w:r>
              <w:t xml:space="preserve">~0</w:t>
            </w:r>
          </w:p>
        </w:tc>
      </w:tr>
    </w:tbl>
    <w:p>
      <w:pPr>
        <w:pStyle w:val="BodyText"/>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Segments</w:t>
            </w:r>
          </w:p>
        </w:tc>
        <w:tc>
          <w:tcPr/>
          <w:p>
            <w:pPr>
              <w:pStyle w:val="Compact"/>
              <w:jc w:val="left"/>
            </w:pPr>
            <w:r>
              <w:t xml:space="preserve">Count</w:t>
            </w:r>
          </w:p>
        </w:tc>
        <w:tc>
          <w:tcPr/>
          <w:p>
            <w:pPr>
              <w:pStyle w:val="Compact"/>
              <w:jc w:val="left"/>
            </w:pPr>
            <w:r>
              <w:t xml:space="preserve">Planned vs greedy</w:t>
            </w:r>
          </w:p>
        </w:tc>
        <w:tc>
          <w:tcPr/>
          <w:p>
            <w:pPr>
              <w:pStyle w:val="Compact"/>
              <w:jc w:val="left"/>
            </w:pPr>
            <w:r>
              <w:t xml:space="preserve">z</w:t>
            </w:r>
          </w:p>
        </w:tc>
        <w:tc>
          <w:tcPr/>
          <w:p>
            <w:pPr>
              <w:pStyle w:val="Compact"/>
              <w:jc w:val="left"/>
            </w:pPr>
            <w:r>
              <w:t xml:space="preserve">Planned vs adaptive pacing</w:t>
            </w:r>
          </w:p>
        </w:tc>
        <w:tc>
          <w:tcPr/>
          <w:p>
            <w:pPr>
              <w:pStyle w:val="Compact"/>
              <w:jc w:val="left"/>
            </w:pPr>
            <w:r>
              <w:t xml:space="preserve">z</w:t>
            </w:r>
          </w:p>
        </w:tc>
      </w:tr>
      <w:tr>
        <w:tc>
          <w:tcPr/>
          <w:p>
            <w:pPr>
              <w:pStyle w:val="Compact"/>
              <w:jc w:val="left"/>
            </w:pPr>
            <w:r>
              <w:rPr>
                <w:b/>
                <w:bCs/>
              </w:rPr>
              <w:t xml:space="preserve">Activity, 8 tiers (pre-committed)</w:t>
            </w:r>
          </w:p>
        </w:tc>
        <w:tc>
          <w:tcPr/>
          <w:p>
            <w:pPr>
              <w:pStyle w:val="Compact"/>
              <w:jc w:val="left"/>
            </w:pPr>
            <w:r>
              <w:t xml:space="preserve">8</w:t>
            </w:r>
          </w:p>
        </w:tc>
        <w:tc>
          <w:tcPr/>
          <w:p>
            <w:pPr>
              <w:pStyle w:val="Compact"/>
              <w:jc w:val="left"/>
            </w:pPr>
            <w:r>
              <w:rPr>
                <w:b/>
                <w:bCs/>
              </w:rPr>
              <w:t xml:space="preserve">+3.46% ± 0.69pp</w:t>
            </w:r>
          </w:p>
        </w:tc>
        <w:tc>
          <w:tcPr/>
          <w:p>
            <w:pPr>
              <w:pStyle w:val="Compact"/>
              <w:jc w:val="left"/>
            </w:pPr>
            <w:r>
              <w:t xml:space="preserve">+5.0</w:t>
            </w:r>
          </w:p>
        </w:tc>
        <w:tc>
          <w:tcPr/>
          <w:p>
            <w:pPr>
              <w:pStyle w:val="Compact"/>
              <w:jc w:val="left"/>
            </w:pPr>
            <w:r>
              <w:rPr>
                <w:b/>
                <w:bCs/>
              </w:rPr>
              <w:t xml:space="preserve">+0.92% ± 0.47pp</w:t>
            </w:r>
          </w:p>
        </w:tc>
        <w:tc>
          <w:tcPr/>
          <w:p>
            <w:pPr>
              <w:pStyle w:val="Compact"/>
              <w:jc w:val="left"/>
            </w:pPr>
            <w:r>
              <w:t xml:space="preserve">+2.0</w:t>
            </w:r>
          </w:p>
        </w:tc>
      </w:tr>
      <w:tr>
        <w:tc>
          <w:tcPr/>
          <w:p>
            <w:pPr>
              <w:pStyle w:val="Compact"/>
              <w:jc w:val="left"/>
            </w:pPr>
            <w:r>
              <w:t xml:space="preserve">Activity, 4 tiers</w:t>
            </w:r>
          </w:p>
        </w:tc>
        <w:tc>
          <w:tcPr/>
          <w:p>
            <w:pPr>
              <w:pStyle w:val="Compact"/>
              <w:jc w:val="left"/>
            </w:pPr>
            <w:r>
              <w:t xml:space="preserve">4</w:t>
            </w:r>
          </w:p>
        </w:tc>
        <w:tc>
          <w:tcPr/>
          <w:p>
            <w:pPr>
              <w:pStyle w:val="Compact"/>
              <w:jc w:val="left"/>
            </w:pPr>
            <w:r>
              <w:t xml:space="preserve">+2.51% ± 0.50pp</w:t>
            </w:r>
          </w:p>
        </w:tc>
        <w:tc>
          <w:tcPr/>
          <w:p>
            <w:pPr>
              <w:pStyle w:val="Compact"/>
              <w:jc w:val="left"/>
            </w:pPr>
            <w:r>
              <w:t xml:space="preserve">+5.0</w:t>
            </w:r>
          </w:p>
        </w:tc>
        <w:tc>
          <w:tcPr/>
          <w:p>
            <w:pPr>
              <w:pStyle w:val="Compact"/>
              <w:jc w:val="left"/>
            </w:pPr>
            <w:r>
              <w:t xml:space="preserve">+1.15% ± 0.31pp</w:t>
            </w:r>
          </w:p>
        </w:tc>
        <w:tc>
          <w:tcPr/>
          <w:p>
            <w:pPr>
              <w:pStyle w:val="Compact"/>
              <w:jc w:val="left"/>
            </w:pPr>
            <w:r>
              <w:t xml:space="preserve">+3.7</w:t>
            </w:r>
          </w:p>
        </w:tc>
      </w:tr>
      <w:tr>
        <w:tc>
          <w:tcPr/>
          <w:p>
            <w:pPr>
              <w:pStyle w:val="Compact"/>
              <w:jc w:val="left"/>
            </w:pPr>
            <w:r>
              <w:t xml:space="preserve">Tier × demographics</w:t>
            </w:r>
          </w:p>
        </w:tc>
        <w:tc>
          <w:tcPr/>
          <w:p>
            <w:pPr>
              <w:pStyle w:val="Compact"/>
              <w:jc w:val="left"/>
            </w:pPr>
            <w:r>
              <w:t xml:space="preserve">168</w:t>
            </w:r>
          </w:p>
        </w:tc>
        <w:tc>
          <w:tcPr/>
          <w:p>
            <w:pPr>
              <w:pStyle w:val="Compact"/>
              <w:jc w:val="left"/>
            </w:pPr>
            <w:r>
              <w:t xml:space="preserve">+1.93% ± 0.91pp</w:t>
            </w:r>
          </w:p>
        </w:tc>
        <w:tc>
          <w:tcPr/>
          <w:p>
            <w:pPr>
              <w:pStyle w:val="Compact"/>
              <w:jc w:val="left"/>
            </w:pPr>
            <w:r>
              <w:t xml:space="preserve">+2.1</w:t>
            </w:r>
          </w:p>
        </w:tc>
        <w:tc>
          <w:tcPr/>
          <w:p>
            <w:pPr>
              <w:pStyle w:val="Compact"/>
              <w:jc w:val="left"/>
            </w:pPr>
            <w:r>
              <w:t xml:space="preserve">+0.40%</w:t>
            </w:r>
          </w:p>
        </w:tc>
        <w:tc>
          <w:tcPr/>
          <w:p>
            <w:pPr>
              <w:pStyle w:val="Compact"/>
              <w:jc w:val="left"/>
            </w:pPr>
            <w:r>
              <w:t xml:space="preserve">+0.6</w:t>
            </w:r>
          </w:p>
        </w:tc>
      </w:tr>
      <w:tr>
        <w:tc>
          <w:tcPr/>
          <w:p>
            <w:pPr>
              <w:pStyle w:val="Compact"/>
              <w:jc w:val="left"/>
            </w:pPr>
            <w:r>
              <w:t xml:space="preserve">Demographics only</w:t>
            </w:r>
          </w:p>
        </w:tc>
        <w:tc>
          <w:tcPr/>
          <w:p>
            <w:pPr>
              <w:pStyle w:val="Compact"/>
              <w:jc w:val="left"/>
            </w:pPr>
            <w:r>
              <w:t xml:space="preserve">48</w:t>
            </w:r>
          </w:p>
        </w:tc>
        <w:tc>
          <w:tcPr/>
          <w:p>
            <w:pPr>
              <w:pStyle w:val="Compact"/>
              <w:jc w:val="left"/>
            </w:pPr>
            <w:r>
              <w:t xml:space="preserve">−0.20% ± 0.61pp</w:t>
            </w:r>
          </w:p>
        </w:tc>
        <w:tc>
          <w:tcPr/>
          <w:p>
            <w:pPr>
              <w:pStyle w:val="Compact"/>
              <w:jc w:val="left"/>
            </w:pPr>
            <w:r>
              <w:t xml:space="preserve">−0.3</w:t>
            </w:r>
          </w:p>
        </w:tc>
        <w:tc>
          <w:tcPr/>
          <w:p>
            <w:pPr>
              <w:pStyle w:val="Compact"/>
              <w:jc w:val="left"/>
            </w:pPr>
            <w:r>
              <w:t xml:space="preserve">+0.46%</w:t>
            </w:r>
          </w:p>
        </w:tc>
        <w:tc>
          <w:tcPr/>
          <w:p>
            <w:pPr>
              <w:pStyle w:val="Compact"/>
              <w:jc w:val="left"/>
            </w:pPr>
            <w:r>
              <w:t xml:space="preserve">+1.1</w:t>
            </w:r>
          </w:p>
        </w:tc>
      </w:tr>
    </w:tbl>
    <w:p>
      <w:pPr>
        <w:pStyle w:val="BodyText"/>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Appendix A.2 exists to absorb.</w:t>
      </w:r>
    </w:p>
    <w:p>
      <w:pPr>
        <w:pStyle w:val="BodyText"/>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pPr>
      <w:r>
        <w:t xml:space="preserve">These two components combine into a single selection procedure that runs on planning-window data alone and returns a segmentation, or abstains, before any serving outcome is seen.</w:t>
      </w:r>
    </w:p>
    <w:p>
      <w:pPr>
        <w:pStyle w:val="BodyText"/>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SourceCode"/>
      </w:pPr>
      <w:r>
        <w:rPr>
          <w:rStyle w:val="VerbatimChar"/>
        </w:rPr>
        <w:t xml:space="preserve">d* = max { d : median(c,s): xplancs&gt;0 Ntraincs  ≥  nmin },   nmin ≈ p̄(1−p̄) / σγ2,</w:t>
      </w:r>
    </w:p>
    <w:p>
      <w:pPr>
        <w:pStyle w:val="FirstParagraph"/>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6: contended Taobao rewards the segmentation, uncontended Outbrain does not until the demand regime is stressed.</w:t>
      </w:r>
    </w:p>
    <w:p>
      <w:pPr>
        <w:pStyle w:val="BodyText"/>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36"/>
    <w:bookmarkStart w:id="40" w:name="the-regime-map"/>
    <w:p>
      <w:pPr>
        <w:pStyle w:val="Heading2"/>
      </w:pPr>
      <w:r>
        <w:t xml:space="preserve">6</w:t>
      </w:r>
      <w:r>
        <w:t xml:space="preserve">The regime map</w:t>
      </w:r>
    </w:p>
    <w:p>
      <w:pPr>
        <w:pStyle w:val="FirstParagraph"/>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Six policies, alongside greedy, replay each regime on the pre-committed configuration: the static plan; a periodically re-solved plan (the same LP re-solved on remaining quotas and prorated remaining supply every 20,000 impressions); a scalar dual-price pacing controller; the fixed optimal dual; and dual mirror descent in Euclidean and entropic geometries. The dual-price policies and their tuning are specified below. Lift versus greedy, combined over the five walk-forward folds, with z in parentheses: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Quota scale</w:t>
            </w:r>
          </w:p>
        </w:tc>
        <w:tc>
          <w:tcPr/>
          <w:p>
            <w:pPr>
              <w:pStyle w:val="Compact"/>
              <w:jc w:val="left"/>
            </w:pPr>
            <w:r>
              <w:t xml:space="preserve">Static plan</w:t>
            </w:r>
          </w:p>
        </w:tc>
        <w:tc>
          <w:tcPr/>
          <w:p>
            <w:pPr>
              <w:pStyle w:val="Compact"/>
              <w:jc w:val="left"/>
            </w:pPr>
            <w:r>
              <w:t xml:space="preserve">Re-solved plan</w:t>
            </w:r>
          </w:p>
        </w:tc>
        <w:tc>
          <w:tcPr/>
          <w:p>
            <w:pPr>
              <w:pStyle w:val="Compact"/>
              <w:jc w:val="left"/>
            </w:pPr>
            <w:r>
              <w:t xml:space="preserve">Fixed optimal dual</w:t>
            </w:r>
          </w:p>
        </w:tc>
        <w:tc>
          <w:tcPr/>
          <w:p>
            <w:pPr>
              <w:pStyle w:val="Compact"/>
              <w:jc w:val="left"/>
            </w:pPr>
            <w:r>
              <w:t xml:space="preserve">DMD, entropic</w:t>
            </w:r>
          </w:p>
        </w:tc>
        <w:tc>
          <w:tcPr/>
          <w:p>
            <w:pPr>
              <w:pStyle w:val="Compact"/>
              <w:jc w:val="left"/>
            </w:pPr>
            <w:r>
              <w:t xml:space="preserve">DMD, Euclidean</w:t>
            </w:r>
          </w:p>
        </w:tc>
        <w:tc>
          <w:tcPr/>
          <w:p>
            <w:pPr>
              <w:pStyle w:val="Compact"/>
              <w:jc w:val="left"/>
            </w:pPr>
            <w:r>
              <w:t xml:space="preserve">Scalar pacing</w:t>
            </w:r>
          </w:p>
        </w:tc>
      </w:tr>
      <w:tr>
        <w:tc>
          <w:tcPr/>
          <w:p>
            <w:pPr>
              <w:pStyle w:val="Compact"/>
              <w:jc w:val="left"/>
            </w:pPr>
            <w:r>
              <w:t xml:space="preserve">1.0</w:t>
            </w:r>
          </w:p>
        </w:tc>
        <w:tc>
          <w:tcPr/>
          <w:p>
            <w:pPr>
              <w:pStyle w:val="Compact"/>
              <w:jc w:val="left"/>
            </w:pPr>
            <w:r>
              <w:t xml:space="preserve">+3.46% (5.0)</w:t>
            </w:r>
          </w:p>
        </w:tc>
        <w:tc>
          <w:tcPr/>
          <w:p>
            <w:pPr>
              <w:pStyle w:val="Compact"/>
              <w:jc w:val="left"/>
            </w:pPr>
            <w:r>
              <w:t xml:space="preserve">+4.27% (6.1)</w:t>
            </w:r>
          </w:p>
        </w:tc>
        <w:tc>
          <w:tcPr/>
          <w:p>
            <w:pPr>
              <w:pStyle w:val="Compact"/>
              <w:jc w:val="left"/>
            </w:pPr>
            <w:r>
              <w:t xml:space="preserve">+4.45% (6.4)</w:t>
            </w:r>
          </w:p>
        </w:tc>
        <w:tc>
          <w:tcPr/>
          <w:p>
            <w:pPr>
              <w:pStyle w:val="Compact"/>
              <w:jc w:val="left"/>
            </w:pPr>
            <w:r>
              <w:t xml:space="preserve">+4.54% (6.8)</w:t>
            </w:r>
          </w:p>
        </w:tc>
        <w:tc>
          <w:tcPr/>
          <w:p>
            <w:pPr>
              <w:pStyle w:val="Compact"/>
              <w:jc w:val="left"/>
            </w:pPr>
            <w:r>
              <w:t xml:space="preserve">+4.73% (7.1)</w:t>
            </w:r>
          </w:p>
        </w:tc>
        <w:tc>
          <w:tcPr/>
          <w:p>
            <w:pPr>
              <w:pStyle w:val="Compact"/>
              <w:jc w:val="left"/>
            </w:pPr>
            <w:r>
              <w:t xml:space="preserve">+3.86% (6.3)</w:t>
            </w:r>
          </w:p>
        </w:tc>
      </w:tr>
      <w:tr>
        <w:tc>
          <w:tcPr/>
          <w:p>
            <w:pPr>
              <w:pStyle w:val="Compact"/>
              <w:jc w:val="left"/>
            </w:pPr>
            <w:r>
              <w:t xml:space="preserve">1.1</w:t>
            </w:r>
          </w:p>
        </w:tc>
        <w:tc>
          <w:tcPr/>
          <w:p>
            <w:pPr>
              <w:pStyle w:val="Compact"/>
              <w:jc w:val="left"/>
            </w:pPr>
            <w:r>
              <w:t xml:space="preserve">+2.16% (3.1)</w:t>
            </w:r>
          </w:p>
        </w:tc>
        <w:tc>
          <w:tcPr/>
          <w:p>
            <w:pPr>
              <w:pStyle w:val="Compact"/>
              <w:jc w:val="left"/>
            </w:pPr>
            <w:r>
              <w:t xml:space="preserve">+3.49% (5.2)</w:t>
            </w:r>
          </w:p>
        </w:tc>
        <w:tc>
          <w:tcPr/>
          <w:p>
            <w:pPr>
              <w:pStyle w:val="Compact"/>
              <w:jc w:val="left"/>
            </w:pPr>
            <w:r>
              <w:t xml:space="preserve">+2.41% (3.8)</w:t>
            </w:r>
          </w:p>
        </w:tc>
        <w:tc>
          <w:tcPr/>
          <w:p>
            <w:pPr>
              <w:pStyle w:val="Compact"/>
              <w:jc w:val="left"/>
            </w:pPr>
            <w:r>
              <w:t xml:space="preserve">+3.62% (5.7)</w:t>
            </w:r>
          </w:p>
        </w:tc>
        <w:tc>
          <w:tcPr/>
          <w:p>
            <w:pPr>
              <w:pStyle w:val="Compact"/>
              <w:jc w:val="left"/>
            </w:pPr>
            <w:r>
              <w:t xml:space="preserve">+2.65% (4.3)</w:t>
            </w:r>
          </w:p>
        </w:tc>
        <w:tc>
          <w:tcPr/>
          <w:p>
            <w:pPr>
              <w:pStyle w:val="Compact"/>
              <w:jc w:val="left"/>
            </w:pPr>
            <w:r>
              <w:t xml:space="preserve">+0.73% (1.4)</w:t>
            </w:r>
          </w:p>
        </w:tc>
      </w:tr>
      <w:tr>
        <w:tc>
          <w:tcPr/>
          <w:p>
            <w:pPr>
              <w:pStyle w:val="Compact"/>
              <w:jc w:val="left"/>
            </w:pPr>
            <w:r>
              <w:t xml:space="preserve">1.25</w:t>
            </w:r>
          </w:p>
        </w:tc>
        <w:tc>
          <w:tcPr/>
          <w:p>
            <w:pPr>
              <w:pStyle w:val="Compact"/>
              <w:jc w:val="left"/>
            </w:pPr>
            <w:r>
              <w:t xml:space="preserve">+1.56% (2.2)</w:t>
            </w:r>
          </w:p>
        </w:tc>
        <w:tc>
          <w:tcPr/>
          <w:p>
            <w:pPr>
              <w:pStyle w:val="Compact"/>
              <w:jc w:val="left"/>
            </w:pPr>
            <w:r>
              <w:t xml:space="preserve">+3.39% (5.2)</w:t>
            </w:r>
          </w:p>
        </w:tc>
        <w:tc>
          <w:tcPr/>
          <w:p>
            <w:pPr>
              <w:pStyle w:val="Compact"/>
              <w:jc w:val="left"/>
            </w:pPr>
            <w:r>
              <w:t xml:space="preserve">+3.05% (4.9)</w:t>
            </w:r>
          </w:p>
        </w:tc>
        <w:tc>
          <w:tcPr/>
          <w:p>
            <w:pPr>
              <w:pStyle w:val="Compact"/>
              <w:jc w:val="left"/>
            </w:pPr>
            <w:r>
              <w:t xml:space="preserve">+3.06% (5.4)</w:t>
            </w:r>
          </w:p>
        </w:tc>
        <w:tc>
          <w:tcPr/>
          <w:p>
            <w:pPr>
              <w:pStyle w:val="Compact"/>
              <w:jc w:val="left"/>
            </w:pPr>
            <w:r>
              <w:t xml:space="preserve">−0.25% (−0.4)</w:t>
            </w:r>
          </w:p>
        </w:tc>
        <w:tc>
          <w:tcPr/>
          <w:p>
            <w:pPr>
              <w:pStyle w:val="Compact"/>
              <w:jc w:val="left"/>
            </w:pPr>
            <w:r>
              <w:t xml:space="preserve">−2.25% (−4.0)</w:t>
            </w:r>
          </w:p>
        </w:tc>
      </w:tr>
      <w:tr>
        <w:tc>
          <w:tcPr/>
          <w:p>
            <w:pPr>
              <w:pStyle w:val="Compact"/>
              <w:jc w:val="left"/>
            </w:pPr>
            <w:r>
              <w:t xml:space="preserve">1.5</w:t>
            </w:r>
          </w:p>
        </w:tc>
        <w:tc>
          <w:tcPr/>
          <w:p>
            <w:pPr>
              <w:pStyle w:val="Compact"/>
              <w:jc w:val="left"/>
            </w:pPr>
            <w:r>
              <w:t xml:space="preserve">+0.28% (0.4)</w:t>
            </w:r>
          </w:p>
        </w:tc>
        <w:tc>
          <w:tcPr/>
          <w:p>
            <w:pPr>
              <w:pStyle w:val="Compact"/>
              <w:jc w:val="left"/>
            </w:pPr>
            <w:r>
              <w:t xml:space="preserve">+2.22% (3.4)</w:t>
            </w:r>
          </w:p>
        </w:tc>
        <w:tc>
          <w:tcPr/>
          <w:p>
            <w:pPr>
              <w:pStyle w:val="Compact"/>
              <w:jc w:val="left"/>
            </w:pPr>
            <w:r>
              <w:t xml:space="preserve">+1.49% (2.4)</w:t>
            </w:r>
          </w:p>
        </w:tc>
        <w:tc>
          <w:tcPr/>
          <w:p>
            <w:pPr>
              <w:pStyle w:val="Compact"/>
              <w:jc w:val="left"/>
            </w:pPr>
            <w:r>
              <w:t xml:space="preserve">−0.52% (−0.9)</w:t>
            </w:r>
          </w:p>
        </w:tc>
        <w:tc>
          <w:tcPr/>
          <w:p>
            <w:pPr>
              <w:pStyle w:val="Compact"/>
              <w:jc w:val="left"/>
            </w:pPr>
            <w:r>
              <w:t xml:space="preserve">−4.76% (−7.2)</w:t>
            </w:r>
          </w:p>
        </w:tc>
        <w:tc>
          <w:tcPr/>
          <w:p>
            <w:pPr>
              <w:pStyle w:val="Compact"/>
              <w:jc w:val="left"/>
            </w:pPr>
            <w:r>
              <w:t xml:space="preserve">−6.88% (−11.2)</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92916"/>
                  <wp:effectExtent b="0" l="0" r="0" t="0"/>
                  <wp:docPr descr="" title="" id="38" name="Picture"/>
                  <a:graphic>
                    <a:graphicData uri="http://schemas.openxmlformats.org/drawingml/2006/picture">
                      <pic:pic>
                        <pic:nvPicPr>
                          <pic:cNvPr descr="file:///E:/tmp/claude/E--Projects-Submitted-MobileAd-Comverse/464e82cd-870f-4dc1-b795-92348cf1a9b8/scratchpad/figs/fig2.png" id="39" name="Picture"/>
                          <pic:cNvPicPr>
                            <a:picLocks noChangeArrowheads="1" noChangeAspect="1"/>
                          </pic:cNvPicPr>
                        </pic:nvPicPr>
                        <pic:blipFill>
                          <a:blip r:embed="rId37"/>
                          <a:stretch>
                            <a:fillRect/>
                          </a:stretch>
                        </pic:blipFill>
                        <pic:spPr bwMode="auto">
                          <a:xfrm>
                            <a:off x="0" y="0"/>
                            <a:ext cx="5334000" cy="2592916"/>
                          </a:xfrm>
                          <a:prstGeom prst="rect">
                            <a:avLst/>
                          </a:prstGeom>
                          <a:noFill/>
                          <a:ln w="9525">
                            <a:noFill/>
                            <a:headEnd/>
                            <a:tailEnd/>
                          </a:ln>
                        </pic:spPr>
                      </pic:pic>
                    </a:graphicData>
                  </a:graphic>
                </wp:inline>
              </w:drawing>
            </w:r>
          </w:p>
        </w:tc>
      </w:tr>
    </w:tbl>
    <w:p>
      <w:pPr>
        <w:pStyle w:val="ImageCaption"/>
      </w:pPr>
      <w:r>
        <w:t xml:space="preserve">Figure 2.</w:t>
      </w:r>
      <w:r>
        <w:t xml:space="preserve"> </w:t>
      </w:r>
      <w:r>
        <w:t xml:space="preserve">The regime map as a deployment chart. Each curve is one policy’s lift over greedy serving (walk-forward mean, Taobao top-100, pre-committed 8-tier segmentation) as quotas are scaled above deliverable supply. Of the four policies plotted, the re-solved plan is the only one that stays above greedy across the whole contention range; every online price-learning method crosses into the shaded loss region, in order of update aggressiveness (scalar first, then Euclidean, then entropic mirror descent). The static plan and the fixed optimal dual, omitted to keep the chart legible, also stay non-negative under the click objective (Section 6 table). An operator reads the horizontal axis from the pre-deployment contention ratio of Algorithm 1, step 6, and the chart says when planning is worth the effort and which pacing to trust.</w:t>
      </w:r>
    </w:p>
    <w:p>
      <w:pPr>
        <w:pStyle w:val="BodyText"/>
      </w:pPr>
      <w:r>
        <w:t xml:space="preserve">The dual-price baselines are given every advantage: their step size is tuned on held-out planning-window traffic, the warm variant is initialized from the plan LP’s own quota shadow prices, and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the earlier scalar quota-error controller is retained as a practical baseline.</w:t>
      </w:r>
    </w:p>
    <w:p>
      <w:pPr>
        <w:pStyle w:val="BodyText"/>
      </w:pPr>
      <w:r>
        <w:t xml:space="preserve">At exact feasibility all seven policies cluster within a point; most of the value is the forecast itself, which each consumes. Under contention they separate, and the separation is a spectrum set by how the prices are obtained (Figure 2).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policies that obtain prices by solving rather than learning them online, the static plan, the re-solved plan, and the fixed optimal dual, are the ones that stay non-negative across the range; the re-solved plan holds the largest margin under contention (+2.2% to +4.3%), while the static plan’s edge narrows to within noise at the heaviest over-subscription (+0.28% at 150%). The semi-synthetic benchmark of Section 4.1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First, the failure under heavy over-subscription is shared by every adaptive dual-price method we test, modern mirror descent included;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holds under the click objective: the revenue results below show a one-shot optimal dual mispricing campaigns when the realized arrival order departs from the fluid plan its prices were solved against. The sharper claim, that prices should be</w:t>
      </w:r>
      <w:r>
        <w:t xml:space="preserve"> </w:t>
      </w:r>
      <w:r>
        <w:rPr>
          <w:i/>
          <w:iCs/>
        </w:rPr>
        <w:t xml:space="preserve">obtained by solving</w:t>
      </w:r>
      <w:r>
        <w:t xml:space="preserve"> </w:t>
      </w:r>
      <w:r>
        <w:t xml:space="preserve">and re-solved on the pacing cadence, is stated as the deployment rule below.</w:t>
      </w:r>
    </w:p>
    <w:p>
      <w:pPr>
        <w:pStyle w:val="BodyText"/>
      </w:pPr>
      <w:r>
        <w:t xml:space="preserve">The deployment rule follows: the LP’s prices are what matter, so obtain them by solving, and recompute them on the pacing cadence (re-solve). Holding a one-shot LP optimum (the fixed dual) suffices under the click objective but is not universally robust, as the revenue results below show; online price learning is competitive only while contention is mild, and no adaptive variant we test survives heavy over-subscription. Re-solving is the single price source positive in every regime we measure.</w:t>
      </w:r>
    </w:p>
    <w:p>
      <w:pPr>
        <w:pStyle w:val="BodyText"/>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measurable before deployment: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over-subscribed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40"/>
    <w:bookmarkStart w:id="44" w:name="simulation-as-calibration"/>
    <w:p>
      <w:pPr>
        <w:pStyle w:val="Heading2"/>
      </w:pPr>
      <w:r>
        <w:t xml:space="preserve">7</w:t>
      </w:r>
      <w:r>
        <w:t xml:space="preserve">Simulation as calibration</w:t>
      </w:r>
    </w:p>
    <w:p>
      <w:pPr>
        <w:pStyle w:val="FirstParagraph"/>
      </w:pPr>
      <w:r>
        <w:t xml:space="preserve">The regime map of Section 6 was measured by a replay harness; this section calibrates that harness on a fully synthetic market where ground truth is known and every quantity is controlled.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 (20 replications)</w:t>
            </w:r>
          </w:p>
        </w:tc>
        <w:tc>
          <w:tcPr/>
          <w:p>
            <w:pPr>
              <w:pStyle w:val="Compact"/>
              <w:jc w:val="left"/>
            </w:pPr>
            <w:r>
              <w:t xml:space="preserve">Mean</w:t>
            </w:r>
          </w:p>
        </w:tc>
        <w:tc>
          <w:tcPr/>
          <w:p>
            <w:pPr>
              <w:pStyle w:val="Compact"/>
              <w:jc w:val="left"/>
            </w:pPr>
            <w:r>
              <w:t xml:space="preserve">Range</w:t>
            </w:r>
          </w:p>
        </w:tc>
      </w:tr>
      <w:tr>
        <w:tc>
          <w:tcPr/>
          <w:p>
            <w:pPr>
              <w:pStyle w:val="Compact"/>
              <w:jc w:val="left"/>
            </w:pPr>
            <w:r>
              <w:t xml:space="preserve">Revenue lift, planned over greedy</w:t>
            </w:r>
          </w:p>
        </w:tc>
        <w:tc>
          <w:tcPr/>
          <w:p>
            <w:pPr>
              <w:pStyle w:val="Compact"/>
              <w:jc w:val="left"/>
            </w:pPr>
            <w:r>
              <w:t xml:space="preserve">+6.5%</w:t>
            </w:r>
          </w:p>
        </w:tc>
        <w:tc>
          <w:tcPr/>
          <w:p>
            <w:pPr>
              <w:pStyle w:val="Compact"/>
              <w:jc w:val="left"/>
            </w:pPr>
            <w:r>
              <w:t xml:space="preserve">+4.1% to +8.8%</w:t>
            </w:r>
          </w:p>
        </w:tc>
      </w:tr>
      <w:tr>
        <w:tc>
          <w:tcPr/>
          <w:p>
            <w:pPr>
              <w:pStyle w:val="Compact"/>
              <w:jc w:val="left"/>
            </w:pPr>
            <w:r>
              <w:t xml:space="preserve">Expected-click lift, planned over greedy</w:t>
            </w:r>
          </w:p>
        </w:tc>
        <w:tc>
          <w:tcPr/>
          <w:p>
            <w:pPr>
              <w:pStyle w:val="Compact"/>
              <w:jc w:val="left"/>
            </w:pPr>
            <w:r>
              <w:t xml:space="preserve">+33.0%</w:t>
            </w:r>
          </w:p>
        </w:tc>
        <w:tc>
          <w:tcPr/>
          <w:p>
            <w:pPr>
              <w:pStyle w:val="Compact"/>
              <w:jc w:val="left"/>
            </w:pPr>
            <w:r>
              <w:t xml:space="preserve">+22.9% to +40.6%</w:t>
            </w:r>
          </w:p>
        </w:tc>
      </w:tr>
      <w:tr>
        <w:tc>
          <w:tcPr/>
          <w:p>
            <w:pPr>
              <w:pStyle w:val="Compact"/>
              <w:jc w:val="left"/>
            </w:pPr>
            <w:r>
              <w:t xml:space="preserve">Planned revenue as share of hindsight bound</w:t>
            </w:r>
          </w:p>
        </w:tc>
        <w:tc>
          <w:tcPr/>
          <w:p>
            <w:pPr>
              <w:pStyle w:val="Compact"/>
              <w:jc w:val="left"/>
            </w:pPr>
            <w:r>
              <w:t xml:space="preserve">93.8%</w:t>
            </w:r>
          </w:p>
        </w:tc>
        <w:tc>
          <w:tcPr/>
          <w:p>
            <w:pPr>
              <w:pStyle w:val="Compact"/>
              <w:jc w:val="left"/>
            </w:pPr>
            <w:r>
              <w:t xml:space="preserve">≥ 91.7%</w:t>
            </w:r>
          </w:p>
        </w:tc>
      </w:tr>
      <w:tr>
        <w:tc>
          <w:tcPr/>
          <w:p>
            <w:pPr>
              <w:pStyle w:val="Compact"/>
              <w:jc w:val="left"/>
            </w:pPr>
            <w:r>
              <w:t xml:space="preserve">Greedy revenue as share of hindsight bound</w:t>
            </w:r>
          </w:p>
        </w:tc>
        <w:tc>
          <w:tcPr/>
          <w:p>
            <w:pPr>
              <w:pStyle w:val="Compact"/>
              <w:jc w:val="left"/>
            </w:pPr>
            <w:r>
              <w:t xml:space="preserve">88.1%</w:t>
            </w:r>
          </w:p>
        </w:tc>
        <w:tc>
          <w:tcPr/>
          <w:p>
            <w:pPr>
              <w:pStyle w:val="Compact"/>
              <w:jc w:val="left"/>
            </w:pPr>
            <w:r>
              <w:t xml:space="preserve">≥ 85.4%</w:t>
            </w:r>
          </w:p>
        </w:tc>
      </w:tr>
      <w:tr>
        <w:tc>
          <w:tcPr/>
          <w:p>
            <w:pPr>
              <w:pStyle w:val="Compact"/>
              <w:jc w:val="left"/>
            </w:pPr>
            <w:r>
              <w:t xml:space="preserve">Quota fill, both policies</w:t>
            </w:r>
          </w:p>
        </w:tc>
        <w:tc>
          <w:tcPr/>
          <w:p>
            <w:pPr>
              <w:pStyle w:val="Compact"/>
              <w:jc w:val="left"/>
            </w:pPr>
            <w:r>
              <w:t xml:space="preserve">100%</w:t>
            </w:r>
          </w:p>
        </w:tc>
        <w:tc>
          <w:tcPr/>
          <w:p>
            <w:pPr>
              <w:pStyle w:val="Compact"/>
              <w:jc w:val="left"/>
            </w:pPr>
            <w:r>
              <w:t xml:space="preserve">all replications</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370666"/>
                  <wp:effectExtent b="0" l="0" r="0" t="0"/>
                  <wp:docPr descr="" title="" id="42" name="Picture"/>
                  <a:graphic>
                    <a:graphicData uri="http://schemas.openxmlformats.org/drawingml/2006/picture">
                      <pic:pic>
                        <pic:nvPicPr>
                          <pic:cNvPr descr="file:///E:/tmp/claude/E--Projects-Submitted-MobileAd-Comverse/464e82cd-870f-4dc1-b795-92348cf1a9b8/scratchpad/figs/fig3.png" id="43" name="Picture"/>
                          <pic:cNvPicPr>
                            <a:picLocks noChangeArrowheads="1" noChangeAspect="1"/>
                          </pic:cNvPicPr>
                        </pic:nvPicPr>
                        <pic:blipFill>
                          <a:blip r:embed="rId41"/>
                          <a:stretch>
                            <a:fillRect/>
                          </a:stretch>
                        </pic:blipFill>
                        <pic:spPr bwMode="auto">
                          <a:xfrm>
                            <a:off x="0" y="0"/>
                            <a:ext cx="5334000" cy="2370666"/>
                          </a:xfrm>
                          <a:prstGeom prst="rect">
                            <a:avLst/>
                          </a:prstGeom>
                          <a:noFill/>
                          <a:ln w="9525">
                            <a:noFill/>
                            <a:headEnd/>
                            <a:tailEnd/>
                          </a:ln>
                        </pic:spPr>
                      </pic:pic>
                    </a:graphicData>
                  </a:graphic>
                </wp:inline>
              </w:drawing>
            </w:r>
          </w:p>
        </w:tc>
      </w:tr>
    </w:tbl>
    <w:p>
      <w:pPr>
        <w:pStyle w:val="ImageCaption"/>
      </w:pPr>
      <w:r>
        <w:t xml:space="preserve">Figure 3.</w:t>
      </w:r>
      <w:r>
        <w:t xml:space="preserve"> </w:t>
      </w:r>
      <w:r>
        <w:t xml:space="preserve">Revenue captured by each policy as a share of the hindsight offline optimum, per replication. Planned allocation dominates greedy serving in all 20 replications; the two distributions do not overlap (planned minimum 91.7%, greedy maximum 91.6%).</w:t>
      </w:r>
    </w:p>
    <w:p>
      <w:pPr>
        <w:pStyle w:val="BodyText"/>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Appendix A.2’s pacing mechanism and the refinement loop exist to absorb.</w:t>
      </w:r>
    </w:p>
    <w:bookmarkEnd w:id="44"/>
    <w:bookmarkStart w:id="45" w:name="a-reference-serving-architecture"/>
    <w:p>
      <w:pPr>
        <w:pStyle w:val="Heading2"/>
      </w:pPr>
      <w:r>
        <w:t xml:space="preserve">8</w:t>
      </w:r>
      <w:r>
        <w:t xml:space="preserve">A reference serving architecture</w:t>
      </w:r>
    </w:p>
    <w:p>
      <w:pPr>
        <w:pStyle w:val="FirstParagraph"/>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Web ad network</w:t>
            </w:r>
          </w:p>
        </w:tc>
        <w:tc>
          <w:tcPr/>
          <w:p>
            <w:pPr>
              <w:pStyle w:val="Compact"/>
              <w:jc w:val="left"/>
            </w:pPr>
            <w:r>
              <w:t xml:space="preserve">Network operator</w:t>
            </w:r>
          </w:p>
        </w:tc>
      </w:tr>
      <w:tr>
        <w:tc>
          <w:tcPr/>
          <w:p>
            <w:pPr>
              <w:pStyle w:val="Compact"/>
              <w:jc w:val="left"/>
            </w:pPr>
            <w:r>
              <w:t xml:space="preserve">Identity</w:t>
            </w:r>
          </w:p>
        </w:tc>
        <w:tc>
          <w:tcPr/>
          <w:p>
            <w:pPr>
              <w:pStyle w:val="Compact"/>
              <w:jc w:val="left"/>
            </w:pPr>
            <w:r>
              <w:t xml:space="preserve">Cookie or device fingerprint; resettable, unverified</w:t>
            </w:r>
          </w:p>
        </w:tc>
        <w:tc>
          <w:tcPr/>
          <w:p>
            <w:pPr>
              <w:pStyle w:val="Compact"/>
              <w:jc w:val="left"/>
            </w:pPr>
            <w:r>
              <w:t xml:space="preserve">Subscriber account; stable, verified, one per person</w:t>
            </w:r>
          </w:p>
        </w:tc>
      </w:tr>
      <w:tr>
        <w:tc>
          <w:tcPr/>
          <w:p>
            <w:pPr>
              <w:pStyle w:val="Compact"/>
              <w:jc w:val="left"/>
            </w:pPr>
            <w:r>
              <w:t xml:space="preserve">Demographics</w:t>
            </w:r>
          </w:p>
        </w:tc>
        <w:tc>
          <w:tcPr/>
          <w:p>
            <w:pPr>
              <w:pStyle w:val="Compact"/>
              <w:jc w:val="left"/>
            </w:pPr>
            <w:r>
              <w:t xml:space="preserve">Inferred from behavior</w:t>
            </w:r>
          </w:p>
        </w:tc>
        <w:tc>
          <w:tcPr/>
          <w:p>
            <w:pPr>
              <w:pStyle w:val="Compact"/>
              <w:jc w:val="left"/>
            </w:pPr>
            <w:r>
              <w:t xml:space="preserve">Declared at subscription: age, gender, address</w:t>
            </w:r>
          </w:p>
        </w:tc>
      </w:tr>
      <w:tr>
        <w:tc>
          <w:tcPr/>
          <w:p>
            <w:pPr>
              <w:pStyle w:val="Compact"/>
              <w:jc w:val="left"/>
            </w:pPr>
            <w:r>
              <w:t xml:space="preserve">Financial signal</w:t>
            </w:r>
          </w:p>
        </w:tc>
        <w:tc>
          <w:tcPr/>
          <w:p>
            <w:pPr>
              <w:pStyle w:val="Compact"/>
              <w:jc w:val="left"/>
            </w:pPr>
            <w:r>
              <w:t xml:space="preserve">None or modeled</w:t>
            </w:r>
          </w:p>
        </w:tc>
        <w:tc>
          <w:tcPr/>
          <w:p>
            <w:pPr>
              <w:pStyle w:val="Compact"/>
              <w:jc w:val="left"/>
            </w:pPr>
            <w:r>
              <w:t xml:space="preserve">Plan, spend level, content purchase history</w:t>
            </w:r>
          </w:p>
        </w:tc>
      </w:tr>
      <w:tr>
        <w:tc>
          <w:tcPr/>
          <w:p>
            <w:pPr>
              <w:pStyle w:val="Compact"/>
              <w:jc w:val="left"/>
            </w:pPr>
            <w:r>
              <w:t xml:space="preserve">Location</w:t>
            </w:r>
          </w:p>
        </w:tc>
        <w:tc>
          <w:tcPr/>
          <w:p>
            <w:pPr>
              <w:pStyle w:val="Compact"/>
              <w:jc w:val="left"/>
            </w:pPr>
            <w:r>
              <w:t xml:space="preserve">Coarse, via IP</w:t>
            </w:r>
          </w:p>
        </w:tc>
        <w:tc>
          <w:tcPr/>
          <w:p>
            <w:pPr>
              <w:pStyle w:val="Compact"/>
              <w:jc w:val="left"/>
            </w:pPr>
            <w:r>
              <w:t xml:space="preserve">Network-observed, continuous</w:t>
            </w:r>
          </w:p>
        </w:tc>
      </w:tr>
      <w:tr>
        <w:tc>
          <w:tcPr/>
          <w:p>
            <w:pPr>
              <w:pStyle w:val="Compact"/>
              <w:jc w:val="left"/>
            </w:pPr>
            <w:r>
              <w:t xml:space="preserve">Browsing coverage</w:t>
            </w:r>
          </w:p>
        </w:tc>
        <w:tc>
          <w:tcPr/>
          <w:p>
            <w:pPr>
              <w:pStyle w:val="Compact"/>
              <w:jc w:val="left"/>
            </w:pPr>
            <w:r>
              <w:t xml:space="preserve">Sites the network instruments</w:t>
            </w:r>
          </w:p>
        </w:tc>
        <w:tc>
          <w:tcPr/>
          <w:p>
            <w:pPr>
              <w:pStyle w:val="Compact"/>
              <w:jc w:val="left"/>
            </w:pPr>
            <w:r>
              <w:t xml:space="preserve">All traffic through the gateway</w:t>
            </w:r>
          </w:p>
        </w:tc>
      </w:tr>
      <w:tr>
        <w:tc>
          <w:tcPr/>
          <w:p>
            <w:pPr>
              <w:pStyle w:val="Compact"/>
              <w:jc w:val="left"/>
            </w:pPr>
            <w:r>
              <w:t xml:space="preserve">Exposure control</w:t>
            </w:r>
          </w:p>
        </w:tc>
        <w:tc>
          <w:tcPr/>
          <w:p>
            <w:pPr>
              <w:pStyle w:val="Compact"/>
              <w:jc w:val="left"/>
            </w:pPr>
            <w:r>
              <w:t xml:space="preserve">Per-site frequency caps</w:t>
            </w:r>
          </w:p>
        </w:tc>
        <w:tc>
          <w:tcPr/>
          <w:p>
            <w:pPr>
              <w:pStyle w:val="Compact"/>
              <w:jc w:val="left"/>
            </w:pPr>
            <w:r>
              <w:t xml:space="preserve">Global caps across all inventory, per subscriber</w:t>
            </w:r>
          </w:p>
        </w:tc>
      </w:tr>
    </w:tbl>
    <w:p>
      <w:pPr>
        <w:pStyle w:val="BodyText"/>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(Appendix A.1.3).</w:t>
      </w:r>
    </w:p>
    <w:p>
      <w:pPr>
        <w:pStyle w:val="BodyText"/>
      </w:pPr>
      <w:r>
        <w:t xml:space="preserve">The full serving design is a two-stage architecture. An offline analytics stage learns the plan’s inputs, per-segment traffic forecasts and per-(campaign, segment) click probabilities, from event history, clusters subscribers on behavior, and compiles the resulting plan into compact lookup tables. An online engine then executes one impression at a time in constant time: a seven-step decision reads the pre-computed tables to pick the eligible, quota-remaining campaign whose plan-adjusted score is highest, blends per-cluster click estimates by soft membership, and paces delivery by tracking each campaign against its planned trajectory. Because the offline stage holds all raw attributes while the serving path sees only anonymous cluster distances and eligibility lists, the design realizes the data-minimization posture the operator setting requires. Appendix A gives the full design, its data structures, and the pacing rule; the experiments in this paper exercise the allocation core it compiles, not the per-subscriber serving machinery.</w:t>
      </w:r>
    </w:p>
    <w:bookmarkEnd w:id="45"/>
    <w:bookmarkStart w:id="46" w:name="related-work"/>
    <w:p>
      <w:pPr>
        <w:pStyle w:val="Heading2"/>
      </w:pPr>
      <w:r>
        <w:t xml:space="preserve">9</w:t>
      </w:r>
      <w:r>
        <w:t xml:space="preserve">Related work</w:t>
      </w:r>
    </w:p>
    <w:p>
      <w:pPr>
        <w:pStyle w:val="FirstParagraph"/>
      </w:pPr>
      <w:r>
        <w:t xml:space="preserve">The allocation machinery this paper uses, a transportation LP with dual-price pacing, is standard; its contribution sits in five places that the prior literature leaves open, summarized in the table before the discussion.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Line of work</w:t>
            </w:r>
          </w:p>
        </w:tc>
        <w:tc>
          <w:tcPr/>
          <w:p>
            <w:pPr>
              <w:pStyle w:val="Compact"/>
              <w:jc w:val="left"/>
            </w:pPr>
            <w:r>
              <w:t xml:space="preserve">Prescribes the</w:t>
            </w:r>
            <w:r>
              <w:br/>
            </w:r>
            <w:r>
              <w:t xml:space="preserve">segmentation</w:t>
            </w:r>
          </w:p>
        </w:tc>
        <w:tc>
          <w:tcPr/>
          <w:p>
            <w:pPr>
              <w:pStyle w:val="Compact"/>
              <w:jc w:val="left"/>
            </w:pPr>
            <w:r>
              <w:t xml:space="preserve">Pre-committed,</w:t>
            </w:r>
            <w:r>
              <w:br/>
            </w:r>
            <w:r>
              <w:t xml:space="preserve">blind test</w:t>
            </w:r>
          </w:p>
        </w:tc>
        <w:tc>
          <w:tcPr/>
          <w:p>
            <w:pPr>
              <w:pStyle w:val="Compact"/>
              <w:jc w:val="left"/>
            </w:pPr>
            <w:r>
              <w:t xml:space="preserve">Public-log,</w:t>
            </w:r>
            <w:r>
              <w:br/>
            </w:r>
            <w:r>
              <w:t xml:space="preserve">hardened OPE</w:t>
            </w:r>
          </w:p>
        </w:tc>
        <w:tc>
          <w:tcPr/>
          <w:p>
            <w:pPr>
              <w:pStyle w:val="Compact"/>
              <w:jc w:val="left"/>
            </w:pPr>
            <w:r>
              <w:t xml:space="preserve">Regime map</w:t>
            </w:r>
            <w:r>
              <w:br/>
            </w:r>
            <w:r>
              <w:t xml:space="preserve">(plan vs. adapt)</w:t>
            </w:r>
          </w:p>
        </w:tc>
        <w:tc>
          <w:tcPr/>
          <w:p>
            <w:pPr>
              <w:pStyle w:val="Compact"/>
              <w:jc w:val="left"/>
            </w:pPr>
            <w:r>
              <w:t xml:space="preserve">Revenue with</w:t>
            </w:r>
            <w:r>
              <w:br/>
            </w:r>
            <w:r>
              <w:t xml:space="preserve">guarantees</w:t>
            </w:r>
          </w:p>
        </w:tc>
      </w:tr>
      <w:tr>
        <w:tc>
          <w:tcPr/>
          <w:p>
            <w:pPr>
              <w:pStyle w:val="Compact"/>
              <w:jc w:val="left"/>
            </w:pPr>
            <w:r>
              <w:t xml:space="preserve">Online matching, AdWords [6, 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Random-permutation online LP [8–10]</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Guaranteed display: forecasts, SHALE [11, 12]</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Dual mirror descent [21]</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Yield optimization, ad exchange [22]</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Budget-pacing controllers [13, 14]</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rPr>
                <w:b/>
                <w:bCs/>
              </w:rPr>
              <w:t xml:space="preserve">This paper</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c>
          <w:tcPr/>
          <w:p>
            <w:pPr>
              <w:pStyle w:val="Compact"/>
              <w:jc w:val="left"/>
            </w:pPr>
            <w:r>
              <w:rPr>
                <w:b/>
                <w:bCs/>
              </w:rPr>
              <w:t xml:space="preserve">✓</w:t>
            </w:r>
          </w:p>
        </w:tc>
      </w:tr>
    </w:tbl>
    <w:p>
      <w:pPr>
        <w:pStyle w:val="BodyText"/>
      </w:pPr>
      <w:r>
        <w:t xml:space="preserve">✓ addresses the question, ~ partially, blank not addressed. The prior lines take the audience segmentation as given, evaluate on theory or private production data, and do not characterize when a compiled plan beats online adaptation; the guaranteed-delivery and pacing lines share this paper’s revenue-with-penalties objective but not its segmentation rule or its public evaluation. The paragraphs below detail each line.</w:t>
      </w:r>
    </w:p>
    <w:p>
      <w:pPr>
        <w:pStyle w:val="BodyText"/>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Appendix A.2. Relative to this line, our contributions are a pre-committable, falsifiable segmentation test and a public-log evaluation protocol; the architecture itself is a deployment sketch.</w:t>
      </w:r>
    </w:p>
    <w:p>
      <w:pPr>
        <w:pStyle w:val="BodyText"/>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46"/>
    <w:bookmarkStart w:id="47" w:name="discussion"/>
    <w:p>
      <w:pPr>
        <w:pStyle w:val="Heading2"/>
      </w:pPr>
      <w:r>
        <w:t xml:space="preserve">10</w:t>
      </w:r>
      <w:r>
        <w:t xml:space="preserve">Discussion</w:t>
      </w:r>
    </w:p>
    <w:p>
      <w:pPr>
        <w:pStyle w:val="FirstParagraph"/>
      </w:pPr>
      <w:r>
        <w:t xml:space="preserve">Four design principles carry the empirical findings, persistence-chosen segments, solved prices, and a re-solve cadence, into a deployable system.</w:t>
      </w:r>
    </w:p>
    <w:p>
      <w:pPr>
        <w:pStyle w:val="BodyText"/>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47"/>
    <w:bookmarkStart w:id="48" w:name="scope-and-assumptions"/>
    <w:p>
      <w:pPr>
        <w:pStyle w:val="Heading2"/>
      </w:pPr>
      <w:r>
        <w:t xml:space="preserve">11</w:t>
      </w:r>
      <w:r>
        <w:t xml:space="preserve">Scope and assumptions</w:t>
      </w:r>
    </w:p>
    <w:p>
      <w:pPr>
        <w:pStyle w:val="FirstParagraph"/>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5),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the edges that make the deployment claim falsifiable.</w:t>
      </w:r>
    </w:p>
    <w:p>
      <w:pPr>
        <w:pStyle w:val="BodyText"/>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Appendix A.1: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48"/>
    <w:bookmarkStart w:id="67" w:name="X768eda5dc47c9e2fbd56372e290aa93bfab37c7"/>
    <w:p>
      <w:pPr>
        <w:pStyle w:val="Heading2"/>
      </w:pPr>
      <w:r>
        <w:t xml:space="preserve">Appendix A. Reference serving architecture</w:t>
      </w:r>
    </w:p>
    <w:p>
      <w:pPr>
        <w:pStyle w:val="FirstParagraph"/>
      </w:pPr>
      <w:r>
        <w:t xml:space="preserve">This appendix gives the full deployment design summarized in Section 8: the offline stage that compiles the plan and the online stage that executes it per impression. It is a design sketch; the experiments of Sections 4–6 validate the allocation core it compiles, not the per-subscriber serving machinery detailed here.</w:t>
      </w:r>
    </w:p>
    <w:bookmarkStart w:id="49" w:name="Xa31f11580875970f34b111f76672a43985c73f8"/>
    <w:p>
      <w:pPr>
        <w:pStyle w:val="Heading3"/>
      </w:pPr>
      <w:r>
        <w:t xml:space="preserve">A.1 The offline stage: learning the inputs to the plan</w:t>
      </w:r>
    </w:p>
    <w:p>
      <w:pPr>
        <w:pStyle w:val="FirstParagraph"/>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2"/>
        </w:numPr>
      </w:pPr>
      <w:r>
        <w:t xml:space="preserve">The distribution of (context, profile) pairs observed in the past will recur in the future.</w:t>
      </w:r>
    </w:p>
    <w:p>
      <w:pPr>
        <w:pStyle w:val="Compact"/>
        <w:numPr>
          <w:ilvl w:val="0"/>
          <w:numId w:val="1002"/>
        </w:numPr>
      </w:pPr>
      <w:r>
        <w:t xml:space="preserve">Subscribers who responded similarly under similar conditions will continue to respond similarly.</w:t>
      </w:r>
    </w:p>
    <w:p>
      <w:pPr>
        <w:pStyle w:val="Compact"/>
        <w:numPr>
          <w:ilvl w:val="0"/>
          <w:numId w:val="1002"/>
        </w:numPr>
      </w:pPr>
      <w:r>
        <w:t xml:space="preserve">Subscribers who respond similarly share something observable in their profiles or histories.</w:t>
      </w:r>
    </w:p>
    <w:p>
      <w:pPr>
        <w:pStyle w:val="FirstParagraph"/>
      </w:pPr>
      <w:r>
        <w:t xml:space="preserve">Assumption 1 justifies forecasting traffic from history; assumptions 2 and 3 justify pooling sparse per-subscriber click data into clusters that have enough volume to estimate probabilities reliably.</w:t>
      </w:r>
    </w:p>
    <w:bookmarkEnd w:id="49"/>
    <w:bookmarkStart w:id="50" w:name="a.1.1-response-records"/>
    <w:p>
      <w:pPr>
        <w:pStyle w:val="Heading3"/>
      </w:pPr>
      <w:r>
        <w:t xml:space="preserve">A.1.1 Response records</w:t>
      </w:r>
    </w:p>
    <w:p>
      <w:pPr>
        <w:pStyle w:val="FirstParagraph"/>
      </w:pPr>
      <w:r>
        <w:t xml:space="preserve">The atomic unit of evidence is an ad response record: who saw what, in what context, and whether they clicked.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Content category</w:t>
            </w:r>
          </w:p>
        </w:tc>
        <w:tc>
          <w:tcPr/>
          <w:p>
            <w:pPr>
              <w:pStyle w:val="Compact"/>
              <w:jc w:val="left"/>
            </w:pPr>
            <w:r>
              <w:t xml:space="preserve">Campaign</w:t>
            </w:r>
          </w:p>
        </w:tc>
        <w:tc>
          <w:tcPr/>
          <w:p>
            <w:pPr>
              <w:pStyle w:val="Compact"/>
              <w:jc w:val="left"/>
            </w:pPr>
            <w:r>
              <w:t xml:space="preserve">Click</w:t>
            </w:r>
          </w:p>
        </w:tc>
      </w:tr>
      <w:tr>
        <w:tc>
          <w:tcPr/>
          <w:p>
            <w:pPr>
              <w:pStyle w:val="Compact"/>
              <w:jc w:val="left"/>
            </w:pPr>
            <w:r>
              <w:t xml:space="preserve">11:23</w:t>
            </w:r>
          </w:p>
        </w:tc>
        <w:tc>
          <w:tcPr/>
          <w:p>
            <w:pPr>
              <w:pStyle w:val="Compact"/>
              <w:jc w:val="left"/>
            </w:pPr>
            <w:r>
              <w:t xml:space="preserve">Monday</w:t>
            </w:r>
          </w:p>
        </w:tc>
        <w:tc>
          <w:tcPr/>
          <w:p>
            <w:pPr>
              <w:pStyle w:val="Compact"/>
              <w:jc w:val="left"/>
            </w:pPr>
            <w:r>
              <w:t xml:space="preserve">News</w:t>
            </w:r>
          </w:p>
        </w:tc>
        <w:tc>
          <w:tcPr/>
          <w:p>
            <w:pPr>
              <w:pStyle w:val="Compact"/>
              <w:jc w:val="left"/>
            </w:pPr>
            <w:r>
              <w:t xml:space="preserve">C1 (active)</w:t>
            </w:r>
          </w:p>
        </w:tc>
        <w:tc>
          <w:tcPr/>
          <w:p>
            <w:pPr>
              <w:pStyle w:val="Compact"/>
              <w:jc w:val="left"/>
            </w:pPr>
            <w:r>
              <w:t xml:space="preserve">0</w:t>
            </w:r>
          </w:p>
        </w:tc>
      </w:tr>
      <w:tr>
        <w:tc>
          <w:tcPr/>
          <w:p>
            <w:pPr>
              <w:pStyle w:val="Compact"/>
              <w:jc w:val="left"/>
            </w:pPr>
            <w:r>
              <w:t xml:space="preserve">14:15</w:t>
            </w:r>
          </w:p>
        </w:tc>
        <w:tc>
          <w:tcPr/>
          <w:p>
            <w:pPr>
              <w:pStyle w:val="Compact"/>
              <w:jc w:val="left"/>
            </w:pPr>
            <w:r>
              <w:t xml:space="preserve">Monday</w:t>
            </w:r>
          </w:p>
        </w:tc>
        <w:tc>
          <w:tcPr/>
          <w:p>
            <w:pPr>
              <w:pStyle w:val="Compact"/>
              <w:jc w:val="left"/>
            </w:pPr>
            <w:r>
              <w:t xml:space="preserve">Sport</w:t>
            </w:r>
          </w:p>
        </w:tc>
        <w:tc>
          <w:tcPr/>
          <w:p>
            <w:pPr>
              <w:pStyle w:val="Compact"/>
              <w:jc w:val="left"/>
            </w:pPr>
            <w:r>
              <w:t xml:space="preserve">C2 (active)</w:t>
            </w:r>
          </w:p>
        </w:tc>
        <w:tc>
          <w:tcPr/>
          <w:p>
            <w:pPr>
              <w:pStyle w:val="Compact"/>
              <w:jc w:val="left"/>
            </w:pPr>
            <w:r>
              <w:t xml:space="preserve">1</w:t>
            </w:r>
          </w:p>
        </w:tc>
      </w:tr>
      <w:tr>
        <w:tc>
          <w:tcPr/>
          <w:p>
            <w:pPr>
              <w:pStyle w:val="Compact"/>
              <w:jc w:val="left"/>
            </w:pPr>
            <w:r>
              <w:t xml:space="preserve">18:14</w:t>
            </w:r>
          </w:p>
        </w:tc>
        <w:tc>
          <w:tcPr/>
          <w:p>
            <w:pPr>
              <w:pStyle w:val="Compact"/>
              <w:jc w:val="left"/>
            </w:pPr>
            <w:r>
              <w:t xml:space="preserve">Sunday</w:t>
            </w:r>
          </w:p>
        </w:tc>
        <w:tc>
          <w:tcPr/>
          <w:p>
            <w:pPr>
              <w:pStyle w:val="Compact"/>
              <w:jc w:val="left"/>
            </w:pPr>
            <w:r>
              <w:t xml:space="preserve">Sport</w:t>
            </w:r>
          </w:p>
        </w:tc>
        <w:tc>
          <w:tcPr/>
          <w:p>
            <w:pPr>
              <w:pStyle w:val="Compact"/>
              <w:jc w:val="left"/>
            </w:pPr>
            <w:r>
              <w:t xml:space="preserve">C4 (past)</w:t>
            </w:r>
          </w:p>
        </w:tc>
        <w:tc>
          <w:tcPr/>
          <w:p>
            <w:pPr>
              <w:pStyle w:val="Compact"/>
              <w:jc w:val="left"/>
            </w:pPr>
            <w:r>
              <w:t xml:space="preserve">1</w:t>
            </w:r>
          </w:p>
        </w:tc>
      </w:tr>
    </w:tbl>
    <w:p>
      <w:pPr>
        <w:pStyle w:val="BodyText"/>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50"/>
    <w:bookmarkStart w:id="51" w:name="a.1.2-proximity-and-clustering"/>
    <w:p>
      <w:pPr>
        <w:pStyle w:val="Heading3"/>
      </w:pPr>
      <w:r>
        <w:t xml:space="preserve">A.1.2 Proximity and clustering</w:t>
      </w:r>
    </w:p>
    <w:p>
      <w:pPr>
        <w:pStyle w:val="FirstParagraph"/>
      </w:pP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Distance component</w:t>
            </w:r>
          </w:p>
        </w:tc>
      </w:tr>
      <w:tr>
        <w:tc>
          <w:tcPr/>
          <w:p>
            <w:pPr>
              <w:pStyle w:val="Compact"/>
              <w:jc w:val="left"/>
            </w:pPr>
            <w:r>
              <w:t xml:space="preserve">Age</w:t>
            </w:r>
          </w:p>
        </w:tc>
        <w:tc>
          <w:tcPr/>
          <w:p>
            <w:pPr>
              <w:pStyle w:val="Compact"/>
              <w:jc w:val="left"/>
            </w:pPr>
            <w:r>
              <w:t xml:space="preserve">Absolute difference</w:t>
            </w:r>
          </w:p>
        </w:tc>
      </w:tr>
      <w:tr>
        <w:tc>
          <w:tcPr/>
          <w:p>
            <w:pPr>
              <w:pStyle w:val="Compact"/>
              <w:jc w:val="left"/>
            </w:pPr>
            <w:r>
              <w:t xml:space="preserve">Gender</w:t>
            </w:r>
          </w:p>
        </w:tc>
        <w:tc>
          <w:tcPr/>
          <w:p>
            <w:pPr>
              <w:pStyle w:val="Compact"/>
              <w:jc w:val="left"/>
            </w:pPr>
            <w:r>
              <w:t xml:space="preserve">Fixed penalty if different</w:t>
            </w:r>
          </w:p>
        </w:tc>
      </w:tr>
      <w:tr>
        <w:tc>
          <w:tcPr/>
          <w:p>
            <w:pPr>
              <w:pStyle w:val="Compact"/>
              <w:jc w:val="left"/>
            </w:pPr>
            <w:r>
              <w:t xml:space="preserve">Campaign affinity</w:t>
            </w:r>
          </w:p>
        </w:tc>
        <w:tc>
          <w:tcPr/>
          <w:p>
            <w:pPr>
              <w:pStyle w:val="Compact"/>
              <w:jc w:val="left"/>
            </w:pPr>
            <w:r>
              <w:t xml:space="preserve">By campaign category; fixed penalty if different</w:t>
            </w:r>
          </w:p>
        </w:tc>
      </w:tr>
      <w:tr>
        <w:tc>
          <w:tcPr/>
          <w:p>
            <w:pPr>
              <w:pStyle w:val="Compact"/>
              <w:jc w:val="left"/>
            </w:pPr>
            <w:r>
              <w:t xml:space="preserve">Day of week</w:t>
            </w:r>
          </w:p>
        </w:tc>
        <w:tc>
          <w:tcPr/>
          <w:p>
            <w:pPr>
              <w:pStyle w:val="Compact"/>
              <w:jc w:val="left"/>
            </w:pPr>
            <w:r>
              <w:t xml:space="preserve">Absolute difference, circular</w:t>
            </w:r>
          </w:p>
        </w:tc>
      </w:tr>
      <w:tr>
        <w:tc>
          <w:tcPr/>
          <w:p>
            <w:pPr>
              <w:pStyle w:val="Compact"/>
              <w:jc w:val="left"/>
            </w:pPr>
            <w:r>
              <w:t xml:space="preserve">Location (x, y)</w:t>
            </w:r>
          </w:p>
        </w:tc>
        <w:tc>
          <w:tcPr/>
          <w:p>
            <w:pPr>
              <w:pStyle w:val="Compact"/>
              <w:jc w:val="left"/>
            </w:pPr>
            <w:r>
              <w:t xml:space="preserve">Straight-line distance</w:t>
            </w:r>
          </w:p>
        </w:tc>
      </w:tr>
    </w:tbl>
    <w:p>
      <w:pPr>
        <w:pStyle w:val="BodyText"/>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(Appendix A.2), so predictions blend the behavior of every cluster the subscriber resembles.</w:t>
      </w:r>
    </w:p>
    <w:bookmarkEnd w:id="51"/>
    <w:bookmarkStart w:id="52" w:name="X8b2446043a77ae8c428cb2f72851e920fe1c4ed"/>
    <w:p>
      <w:pPr>
        <w:pStyle w:val="Heading3"/>
      </w:pPr>
      <w:r>
        <w:t xml:space="preserve">A.1.3 Cluster representation and click estimation</w:t>
      </w:r>
    </w:p>
    <w:p>
      <w:pPr>
        <w:pStyle w:val="FirstParagraph"/>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 slot</w:t>
            </w:r>
          </w:p>
        </w:tc>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Category</w:t>
            </w:r>
          </w:p>
        </w:tc>
        <w:tc>
          <w:tcPr/>
          <w:p>
            <w:pPr>
              <w:pStyle w:val="Compact"/>
              <w:jc w:val="left"/>
            </w:pPr>
            <w:r>
              <w:t xml:space="preserve">Predicted hits</w:t>
            </w:r>
          </w:p>
        </w:tc>
      </w:tr>
      <w:tr>
        <w:tc>
          <w:tcPr/>
          <w:p>
            <w:pPr>
              <w:pStyle w:val="Compact"/>
              <w:jc w:val="left"/>
            </w:pPr>
            <w:r>
              <w:t xml:space="preserve">CS1</w:t>
            </w:r>
          </w:p>
        </w:tc>
        <w:tc>
          <w:tcPr/>
          <w:p>
            <w:pPr>
              <w:pStyle w:val="Compact"/>
              <w:jc w:val="left"/>
            </w:pPr>
            <w:r>
              <w:t xml:space="preserve">10:00–12:00</w:t>
            </w:r>
          </w:p>
        </w:tc>
        <w:tc>
          <w:tcPr/>
          <w:p>
            <w:pPr>
              <w:pStyle w:val="Compact"/>
              <w:jc w:val="left"/>
            </w:pPr>
            <w:r>
              <w:t xml:space="preserve">Mon–Tue</w:t>
            </w:r>
          </w:p>
        </w:tc>
        <w:tc>
          <w:tcPr/>
          <w:p>
            <w:pPr>
              <w:pStyle w:val="Compact"/>
              <w:jc w:val="left"/>
            </w:pPr>
            <w:r>
              <w:t xml:space="preserve">News, Sport</w:t>
            </w:r>
          </w:p>
        </w:tc>
        <w:tc>
          <w:tcPr/>
          <w:p>
            <w:pPr>
              <w:pStyle w:val="Compact"/>
              <w:jc w:val="left"/>
            </w:pPr>
            <w:r>
              <w:t xml:space="preserve">3,000</w:t>
            </w:r>
          </w:p>
        </w:tc>
      </w:tr>
      <w:tr>
        <w:tc>
          <w:tcPr/>
          <w:p>
            <w:pPr>
              <w:pStyle w:val="Compact"/>
              <w:jc w:val="left"/>
            </w:pPr>
            <w:r>
              <w:t xml:space="preserve">CS2</w:t>
            </w:r>
          </w:p>
        </w:tc>
        <w:tc>
          <w:tcPr/>
          <w:p>
            <w:pPr>
              <w:pStyle w:val="Compact"/>
              <w:jc w:val="left"/>
            </w:pPr>
            <w:r>
              <w:t xml:space="preserve">11:00–17:00</w:t>
            </w:r>
          </w:p>
        </w:tc>
        <w:tc>
          <w:tcPr/>
          <w:p>
            <w:pPr>
              <w:pStyle w:val="Compact"/>
              <w:jc w:val="left"/>
            </w:pPr>
            <w:r>
              <w:t xml:space="preserve">Sun</w:t>
            </w:r>
          </w:p>
        </w:tc>
        <w:tc>
          <w:tcPr/>
          <w:p>
            <w:pPr>
              <w:pStyle w:val="Compact"/>
              <w:jc w:val="left"/>
            </w:pPr>
            <w:r>
              <w:t xml:space="preserve">Sport</w:t>
            </w:r>
          </w:p>
        </w:tc>
        <w:tc>
          <w:tcPr/>
          <w:p>
            <w:pPr>
              <w:pStyle w:val="Compact"/>
              <w:jc w:val="left"/>
            </w:pPr>
            <w:r>
              <w:t xml:space="preserve">4,000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Campaign</w:t>
            </w:r>
          </w:p>
        </w:tc>
        <w:tc>
          <w:tcPr/>
          <w:p>
            <w:pPr>
              <w:pStyle w:val="Compact"/>
              <w:jc w:val="left"/>
            </w:pPr>
            <w:r>
              <w:t xml:space="preserve">Context slot</w:t>
            </w:r>
          </w:p>
        </w:tc>
        <w:tc>
          <w:tcPr/>
          <w:p>
            <w:pPr>
              <w:pStyle w:val="Compact"/>
              <w:jc w:val="left"/>
            </w:pPr>
            <w:r>
              <w:t xml:space="preserve">Impressions</w:t>
            </w:r>
          </w:p>
        </w:tc>
        <w:tc>
          <w:tcPr/>
          <w:p>
            <w:pPr>
              <w:pStyle w:val="Compact"/>
              <w:jc w:val="left"/>
            </w:pPr>
            <w:r>
              <w:t xml:space="preserve">Clicks</w:t>
            </w:r>
          </w:p>
        </w:tc>
      </w:tr>
      <w:tr>
        <w:tc>
          <w:tcPr/>
          <w:p>
            <w:pPr>
              <w:pStyle w:val="Compact"/>
              <w:jc w:val="left"/>
            </w:pPr>
            <w:r>
              <w:t xml:space="preserve">C1</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3</w:t>
            </w:r>
          </w:p>
        </w:tc>
      </w:tr>
      <w:tr>
        <w:tc>
          <w:tcPr/>
          <w:p>
            <w:pPr>
              <w:pStyle w:val="Compact"/>
              <w:jc w:val="left"/>
            </w:pPr>
            <w:r>
              <w:t xml:space="preserve">C1</w:t>
            </w:r>
          </w:p>
        </w:tc>
        <w:tc>
          <w:tcPr/>
          <w:p>
            <w:pPr>
              <w:pStyle w:val="Compact"/>
              <w:jc w:val="left"/>
            </w:pPr>
            <w:r>
              <w:t xml:space="preserve">CS2</w:t>
            </w:r>
          </w:p>
        </w:tc>
        <w:tc>
          <w:tcPr/>
          <w:p>
            <w:pPr>
              <w:pStyle w:val="Compact"/>
              <w:jc w:val="left"/>
            </w:pPr>
            <w:r>
              <w:t xml:space="preserve">2,000</w:t>
            </w:r>
          </w:p>
        </w:tc>
        <w:tc>
          <w:tcPr/>
          <w:p>
            <w:pPr>
              <w:pStyle w:val="Compact"/>
              <w:jc w:val="left"/>
            </w:pPr>
            <w:r>
              <w:t xml:space="preserve">2</w:t>
            </w:r>
          </w:p>
        </w:tc>
      </w:tr>
      <w:tr>
        <w:tc>
          <w:tcPr/>
          <w:p>
            <w:pPr>
              <w:pStyle w:val="Compact"/>
              <w:jc w:val="left"/>
            </w:pPr>
            <w:r>
              <w:t xml:space="preserve">C2</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7</w:t>
            </w:r>
          </w:p>
        </w:tc>
      </w:tr>
    </w:tbl>
    <w:p>
      <w:pPr>
        <w:pStyle w:val="BodyText"/>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52"/>
    <w:bookmarkStart w:id="53" w:name="X2728b61a2ed01e7aae0fb7efa1e42ffc1e64944"/>
    <w:p>
      <w:pPr>
        <w:pStyle w:val="Heading3"/>
      </w:pPr>
      <w:r>
        <w:t xml:space="preserve">A.1.4 Compiling the plan into lookup tables</w:t>
      </w:r>
    </w:p>
    <w:p>
      <w:pPr>
        <w:pStyle w:val="FirstParagraph"/>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Keyed by</w:t>
            </w:r>
          </w:p>
        </w:tc>
        <w:tc>
          <w:tcPr/>
          <w:p>
            <w:pPr>
              <w:pStyle w:val="Compact"/>
              <w:jc w:val="left"/>
            </w:pPr>
            <w:r>
              <w:t xml:space="preserve">Contents</w:t>
            </w:r>
          </w:p>
        </w:tc>
      </w:tr>
      <w:tr>
        <w:tc>
          <w:tcPr/>
          <w:p>
            <w:pPr>
              <w:pStyle w:val="Compact"/>
              <w:jc w:val="left"/>
            </w:pPr>
            <w:r>
              <w:rPr>
                <w:b/>
                <w:bCs/>
              </w:rPr>
              <w:t xml:space="preserve">Model table</w:t>
            </w:r>
          </w:p>
        </w:tc>
        <w:tc>
          <w:tcPr/>
          <w:p>
            <w:pPr>
              <w:pStyle w:val="Compact"/>
              <w:jc w:val="left"/>
            </w:pPr>
            <w:r>
              <w:t xml:space="preserve">cluster × campaign</w:t>
            </w:r>
          </w:p>
        </w:tc>
        <w:tc>
          <w:tcPr/>
          <w:p>
            <w:pPr>
              <w:pStyle w:val="Compact"/>
              <w:jc w:val="left"/>
            </w:pPr>
            <w:r>
              <w:t xml:space="preserve">Targeted time slots and content categories as bit masks; planned impressions; expected clicks</w:t>
            </w:r>
          </w:p>
        </w:tc>
      </w:tr>
      <w:tr>
        <w:tc>
          <w:tcPr/>
          <w:p>
            <w:pPr>
              <w:pStyle w:val="Compact"/>
              <w:jc w:val="left"/>
            </w:pPr>
            <w:r>
              <w:rPr>
                <w:b/>
                <w:bCs/>
              </w:rPr>
              <w:t xml:space="preserve">Match table</w:t>
            </w:r>
          </w:p>
        </w:tc>
        <w:tc>
          <w:tcPr/>
          <w:p>
            <w:pPr>
              <w:pStyle w:val="Compact"/>
              <w:jc w:val="left"/>
            </w:pPr>
            <w:r>
              <w:t xml:space="preserve">subscriber</w:t>
            </w:r>
          </w:p>
        </w:tc>
        <w:tc>
          <w:tcPr/>
          <w:p>
            <w:pPr>
              <w:pStyle w:val="Compact"/>
              <w:jc w:val="left"/>
            </w:pPr>
            <w:r>
              <w:t xml:space="preserve">Campaigns this subscriber is eligible for under targeting rules</w:t>
            </w:r>
          </w:p>
        </w:tc>
      </w:tr>
      <w:tr>
        <w:tc>
          <w:tcPr/>
          <w:p>
            <w:pPr>
              <w:pStyle w:val="Compact"/>
              <w:jc w:val="left"/>
            </w:pPr>
            <w:r>
              <w:rPr>
                <w:b/>
                <w:bCs/>
              </w:rPr>
              <w:t xml:space="preserve">Cluster table</w:t>
            </w:r>
          </w:p>
        </w:tc>
        <w:tc>
          <w:tcPr/>
          <w:p>
            <w:pPr>
              <w:pStyle w:val="Compact"/>
              <w:jc w:val="left"/>
            </w:pPr>
            <w:r>
              <w:t xml:space="preserve">subscriber</w:t>
            </w:r>
          </w:p>
        </w:tc>
        <w:tc>
          <w:tcPr/>
          <w:p>
            <w:pPr>
              <w:pStyle w:val="Compact"/>
              <w:jc w:val="left"/>
            </w:pPr>
            <w:r>
              <w:t xml:space="preserve">Distance to each nearby cluster (the soft-membership weights)</w:t>
            </w:r>
          </w:p>
        </w:tc>
      </w:tr>
    </w:tbl>
    <w:p>
      <w:pPr>
        <w:pStyle w:val="BodyText"/>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53"/>
    <w:bookmarkStart w:id="57" w:name="X4b4881ba4a2c69f1986b51a46ce2020ac7b4091"/>
    <w:p>
      <w:pPr>
        <w:pStyle w:val="Heading3"/>
      </w:pPr>
      <w:r>
        <w:t xml:space="preserve">A.2 The online stage: executing the plan in real time</w:t>
      </w:r>
    </w:p>
    <w:p>
      <w:pPr>
        <w:pStyle w:val="FirstParagraph"/>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1778000"/>
                  <wp:effectExtent b="0" l="0" r="0" t="0"/>
                  <wp:docPr descr="" title="" id="55" name="Picture"/>
                  <a:graphic>
                    <a:graphicData uri="http://schemas.openxmlformats.org/drawingml/2006/picture">
                      <pic:pic>
                        <pic:nvPicPr>
                          <pic:cNvPr descr="file:///E:/tmp/claude/E--Projects-Submitted-MobileAd-Comverse/464e82cd-870f-4dc1-b795-92348cf1a9b8/scratchpad/figs/fig4.png" id="56" name="Picture"/>
                          <pic:cNvPicPr>
                            <a:picLocks noChangeArrowheads="1" noChangeAspect="1"/>
                          </pic:cNvPicPr>
                        </pic:nvPicPr>
                        <pic:blipFill>
                          <a:blip r:embed="rId54"/>
                          <a:stretch>
                            <a:fillRect/>
                          </a:stretch>
                        </pic:blipFill>
                        <pic:spPr bwMode="auto">
                          <a:xfrm>
                            <a:off x="0" y="0"/>
                            <a:ext cx="5334000" cy="1778000"/>
                          </a:xfrm>
                          <a:prstGeom prst="rect">
                            <a:avLst/>
                          </a:prstGeom>
                          <a:noFill/>
                          <a:ln w="9525">
                            <a:noFill/>
                            <a:headEnd/>
                            <a:tailEnd/>
                          </a:ln>
                        </pic:spPr>
                      </pic:pic>
                    </a:graphicData>
                  </a:graphic>
                </wp:inline>
              </w:drawing>
            </w:r>
          </w:p>
        </w:tc>
      </w:tr>
    </w:tbl>
    <w:p>
      <w:pPr>
        <w:pStyle w:val="ImageCaption"/>
      </w:pPr>
      <w:r>
        <w:t xml:space="preserve">Figure 4.</w:t>
      </w:r>
      <w:r>
        <w:t xml:space="preserve"> </w:t>
      </w:r>
      <w:r>
        <w:t xml:space="preserve">The closed loop. Offline analytics compiles the model and allocation plan into lookup tables; the online engine executes them per impression and streams response records back, which the next analytics cycle uses to refine clusters, probabilities, and the plan.</w:t>
      </w:r>
    </w:p>
    <w:bookmarkEnd w:id="57"/>
    <w:bookmarkStart w:id="61" w:name="a.2.1-the-seven-step-decision"/>
    <w:p>
      <w:pPr>
        <w:pStyle w:val="Heading3"/>
      </w:pPr>
      <w:r>
        <w:t xml:space="preserve">A.2.1 The seven-step decision</w:t>
      </w:r>
    </w:p>
    <w:p>
      <w:pPr>
        <w:pStyle w:val="Compact"/>
        <w:numPr>
          <w:ilvl w:val="0"/>
          <w:numId w:val="1003"/>
        </w:numPr>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3"/>
        </w:numPr>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3"/>
        </w:numPr>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3"/>
        </w:numPr>
      </w:pPr>
      <w:r>
        <w:rPr>
          <w:b/>
          <w:bCs/>
        </w:rPr>
        <w:t xml:space="preserve">Predict click probability per candidate</w:t>
      </w:r>
      <w:r>
        <w:t xml:space="preserve">model table</w:t>
      </w:r>
      <w:r>
        <w:t xml:space="preserve"> </w:t>
      </w:r>
      <w:r>
        <w:t xml:space="preserve">Blend cluster-level click rates with the soft-membership weights (Appendix A.2.2).</w:t>
      </w:r>
    </w:p>
    <w:p>
      <w:pPr>
        <w:pStyle w:val="Compact"/>
        <w:numPr>
          <w:ilvl w:val="0"/>
          <w:numId w:val="1003"/>
        </w:numPr>
      </w:pPr>
      <w:r>
        <w:rPr>
          <w:b/>
          <w:bCs/>
        </w:rPr>
        <w:t xml:space="preserve">Compute pacing per candidate</w:t>
      </w:r>
      <w:r>
        <w:t xml:space="preserve">status table</w:t>
      </w:r>
      <w:r>
        <w:t xml:space="preserve"> </w:t>
      </w:r>
      <w:r>
        <w:t xml:space="preserve">Compare actual delivery against plan, prorated to this point in the flight (Appendix A.2.3).</w:t>
      </w:r>
    </w:p>
    <w:p>
      <w:pPr>
        <w:pStyle w:val="Compact"/>
        <w:numPr>
          <w:ilvl w:val="0"/>
          <w:numId w:val="1003"/>
        </w:numPr>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3"/>
        </w:numPr>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pPr>
      <w:r>
        <w:t xml:space="preserve">Every step is a keyed lookup, a bit-mask test, or arithmetic over a handful of rows. The expensive work (clustering, probability estimation, optimization) was all paid for offline.</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755900"/>
                  <wp:effectExtent b="0" l="0" r="0" t="0"/>
                  <wp:docPr descr="" title="" id="59" name="Picture"/>
                  <a:graphic>
                    <a:graphicData uri="http://schemas.openxmlformats.org/drawingml/2006/picture">
                      <pic:pic>
                        <pic:nvPicPr>
                          <pic:cNvPr descr="file:///E:/tmp/claude/E--Projects-Submitted-MobileAd-Comverse/464e82cd-870f-4dc1-b795-92348cf1a9b8/scratchpad/figs/fig5.png" id="60" name="Picture"/>
                          <pic:cNvPicPr>
                            <a:picLocks noChangeArrowheads="1" noChangeAspect="1"/>
                          </pic:cNvPicPr>
                        </pic:nvPicPr>
                        <pic:blipFill>
                          <a:blip r:embed="rId58"/>
                          <a:stretch>
                            <a:fillRect/>
                          </a:stretch>
                        </pic:blipFill>
                        <pic:spPr bwMode="auto">
                          <a:xfrm>
                            <a:off x="0" y="0"/>
                            <a:ext cx="5334000" cy="2755900"/>
                          </a:xfrm>
                          <a:prstGeom prst="rect">
                            <a:avLst/>
                          </a:prstGeom>
                          <a:noFill/>
                          <a:ln w="9525">
                            <a:noFill/>
                            <a:headEnd/>
                            <a:tailEnd/>
                          </a:ln>
                        </pic:spPr>
                      </pic:pic>
                    </a:graphicData>
                  </a:graphic>
                </wp:inline>
              </w:drawing>
            </w:r>
          </w:p>
        </w:tc>
      </w:tr>
    </w:tbl>
    <w:p>
      <w:pPr>
        <w:pStyle w:val="ImageCaption"/>
      </w:pPr>
      <w:r>
        <w:t xml:space="preserve">Figure 5.</w:t>
      </w:r>
      <w:r>
        <w:t xml:space="preserve"> </w:t>
      </w:r>
      <w:r>
        <w:t xml:space="preserve">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61"/>
    <w:bookmarkStart w:id="62" w:name="X177b7c0bc4741b5b22d40a3d16b0d67309e222e"/>
    <w:p>
      <w:pPr>
        <w:pStyle w:val="Heading3"/>
      </w:pPr>
      <w:r>
        <w:t xml:space="preserve">A.2.2 Click prediction by soft membership</w:t>
      </w:r>
    </w:p>
    <w:p>
      <w:pPr>
        <w:pStyle w:val="FirstParagraph"/>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SourceCode"/>
      </w:pPr>
      <w:r>
        <w:rPr>
          <w:rStyle w:val="VerbatimChar"/>
        </w:rPr>
        <w:t xml:space="preserve">p(click | C1)  =  0.2 · (40 / 8,000)  +  0.8 · (60 / 10,000)  =  0.0058</w:t>
      </w:r>
    </w:p>
    <w:p>
      <w:pPr>
        <w:pStyle w:val="FirstParagraph"/>
      </w:pPr>
      <w:r>
        <w:t xml:space="preserve">Because the subscriber borrows from every cluster they resemble, the estimate is stable even for subscribers with thin personal histories, and it is computed from two table rows and four multiplications.</w:t>
      </w:r>
    </w:p>
    <w:bookmarkEnd w:id="62"/>
    <w:bookmarkStart w:id="66" w:name="a.2.3-pacing-planned-versus-actual"/>
    <w:p>
      <w:pPr>
        <w:pStyle w:val="Heading3"/>
      </w:pPr>
      <w:r>
        <w:t xml:space="preserve">A.2.3 Pacing: planned versus actual</w:t>
      </w:r>
    </w:p>
    <w:p>
      <w:pPr>
        <w:pStyle w:val="FirstParagraph"/>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Flight elapsed</w:t>
            </w:r>
          </w:p>
        </w:tc>
        <w:tc>
          <w:tcPr/>
          <w:p>
            <w:pPr>
              <w:pStyle w:val="Compact"/>
              <w:jc w:val="left"/>
            </w:pPr>
            <w:r>
              <w:t xml:space="preserve">Planned by now</w:t>
            </w:r>
          </w:p>
        </w:tc>
        <w:tc>
          <w:tcPr/>
          <w:p>
            <w:pPr>
              <w:pStyle w:val="Compact"/>
              <w:jc w:val="left"/>
            </w:pPr>
            <w:r>
              <w:t xml:space="preserve">Actual</w:t>
            </w:r>
          </w:p>
        </w:tc>
      </w:tr>
      <w:tr>
        <w:tc>
          <w:tcPr/>
          <w:p>
            <w:pPr>
              <w:pStyle w:val="Compact"/>
              <w:jc w:val="left"/>
            </w:pPr>
            <w:r>
              <w:t xml:space="preserve">L1</w:t>
            </w:r>
          </w:p>
        </w:tc>
        <w:tc>
          <w:tcPr/>
          <w:p>
            <w:pPr>
              <w:pStyle w:val="Compact"/>
              <w:jc w:val="left"/>
            </w:pPr>
            <w:r>
              <w:t xml:space="preserve">33%</w:t>
            </w:r>
          </w:p>
        </w:tc>
        <w:tc>
          <w:tcPr/>
          <w:p>
            <w:pPr>
              <w:pStyle w:val="Compact"/>
              <w:jc w:val="left"/>
            </w:pPr>
            <w:r>
              <w:t xml:space="preserve">8,000 × 0.33 = 2,640</w:t>
            </w:r>
          </w:p>
        </w:tc>
        <w:tc>
          <w:tcPr/>
          <w:p>
            <w:pPr>
              <w:pStyle w:val="Compact"/>
              <w:jc w:val="left"/>
            </w:pPr>
            <w:r>
              <w:t xml:space="preserve">2,000</w:t>
            </w:r>
          </w:p>
        </w:tc>
      </w:tr>
      <w:tr>
        <w:tc>
          <w:tcPr/>
          <w:p>
            <w:pPr>
              <w:pStyle w:val="Compact"/>
              <w:jc w:val="left"/>
            </w:pPr>
            <w:r>
              <w:t xml:space="preserve">L2</w:t>
            </w:r>
          </w:p>
        </w:tc>
        <w:tc>
          <w:tcPr/>
          <w:p>
            <w:pPr>
              <w:pStyle w:val="Compact"/>
              <w:jc w:val="left"/>
            </w:pPr>
            <w:r>
              <w:t xml:space="preserve">50%</w:t>
            </w:r>
          </w:p>
        </w:tc>
        <w:tc>
          <w:tcPr/>
          <w:p>
            <w:pPr>
              <w:pStyle w:val="Compact"/>
              <w:jc w:val="left"/>
            </w:pPr>
            <w:r>
              <w:t xml:space="preserve">10,000 × 0.50 = 5,000</w:t>
            </w:r>
          </w:p>
        </w:tc>
        <w:tc>
          <w:tcPr/>
          <w:p>
            <w:pPr>
              <w:pStyle w:val="Compact"/>
              <w:jc w:val="left"/>
            </w:pPr>
            <w:r>
              <w:t xml:space="preserve">5,100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7,640</w:t>
            </w:r>
          </w:p>
        </w:tc>
        <w:tc>
          <w:tcPr/>
          <w:p>
            <w:pPr>
              <w:pStyle w:val="Compact"/>
              <w:jc w:val="left"/>
            </w:pPr>
            <w:r>
              <w:rPr>
                <w:b/>
                <w:bCs/>
              </w:rPr>
              <w:t xml:space="preserve">7,100</w:t>
            </w:r>
          </w:p>
        </w:tc>
      </w:tr>
    </w:tbl>
    <w:p>
      <w:pPr>
        <w:pStyle w:val="SourceCode"/>
      </w:pPr>
      <w:r>
        <w:rPr>
          <w:rStyle w:val="VerbatimChar"/>
        </w:rPr>
        <w:t xml:space="preserve">performance index  =  actual / planned-by-now  =  7,100 / 7,640  ≈  93%</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074333"/>
                  <wp:effectExtent b="0" l="0" r="0" t="0"/>
                  <wp:docPr descr="" title="" id="64" name="Picture"/>
                  <a:graphic>
                    <a:graphicData uri="http://schemas.openxmlformats.org/drawingml/2006/picture">
                      <pic:pic>
                        <pic:nvPicPr>
                          <pic:cNvPr descr="file:///E:/tmp/claude/E--Projects-Submitted-MobileAd-Comverse/464e82cd-870f-4dc1-b795-92348cf1a9b8/scratchpad/figs/fig6.png" id="65" name="Picture"/>
                          <pic:cNvPicPr>
                            <a:picLocks noChangeArrowheads="1" noChangeAspect="1"/>
                          </pic:cNvPicPr>
                        </pic:nvPicPr>
                        <pic:blipFill>
                          <a:blip r:embed="rId63"/>
                          <a:stretch>
                            <a:fillRect/>
                          </a:stretch>
                        </pic:blipFill>
                        <pic:spPr bwMode="auto">
                          <a:xfrm>
                            <a:off x="0" y="0"/>
                            <a:ext cx="5334000" cy="2074333"/>
                          </a:xfrm>
                          <a:prstGeom prst="rect">
                            <a:avLst/>
                          </a:prstGeom>
                          <a:noFill/>
                          <a:ln w="9525">
                            <a:noFill/>
                            <a:headEnd/>
                            <a:tailEnd/>
                          </a:ln>
                        </pic:spPr>
                      </pic:pic>
                    </a:graphicData>
                  </a:graphic>
                </wp:inline>
              </w:drawing>
            </w:r>
          </w:p>
        </w:tc>
      </w:tr>
    </w:tbl>
    <w:p>
      <w:pPr>
        <w:pStyle w:val="ImageCaption"/>
      </w:pPr>
      <w:r>
        <w:t xml:space="preserve">Figure 6.</w:t>
      </w:r>
      <w:r>
        <w:t xml:space="preserve"> </w:t>
      </w:r>
      <w:r>
        <w:t xml:space="preserve">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Campaign</w:t>
            </w:r>
          </w:p>
        </w:tc>
        <w:tc>
          <w:tcPr/>
          <w:p>
            <w:pPr>
              <w:pStyle w:val="Compact"/>
              <w:jc w:val="left"/>
            </w:pPr>
            <w:r>
              <w:t xml:space="preserve">Impression price</w:t>
            </w:r>
          </w:p>
        </w:tc>
        <w:tc>
          <w:tcPr/>
          <w:p>
            <w:pPr>
              <w:pStyle w:val="Compact"/>
              <w:jc w:val="left"/>
            </w:pPr>
            <w:r>
              <w:t xml:space="preserve">Click price</w:t>
            </w:r>
          </w:p>
        </w:tc>
        <w:tc>
          <w:tcPr/>
          <w:p>
            <w:pPr>
              <w:pStyle w:val="Compact"/>
              <w:jc w:val="left"/>
            </w:pPr>
            <w:r>
              <w:t xml:space="preserve">Perf. index</w:t>
            </w:r>
          </w:p>
        </w:tc>
        <w:tc>
          <w:tcPr/>
          <w:p>
            <w:pPr>
              <w:pStyle w:val="Compact"/>
              <w:jc w:val="left"/>
            </w:pPr>
            <w:r>
              <w:t xml:space="preserve">P(click)</w:t>
            </w:r>
          </w:p>
        </w:tc>
        <w:tc>
          <w:tcPr/>
          <w:p>
            <w:pPr>
              <w:pStyle w:val="Compact"/>
              <w:jc w:val="left"/>
            </w:pPr>
            <w:r>
              <w:t xml:space="preserve">Expected revenue</w:t>
            </w:r>
          </w:p>
        </w:tc>
      </w:tr>
      <w:tr>
        <w:tc>
          <w:tcPr/>
          <w:p>
            <w:pPr>
              <w:pStyle w:val="Compact"/>
              <w:jc w:val="left"/>
            </w:pPr>
            <w:r>
              <w:t xml:space="preserve">C1</w:t>
            </w:r>
          </w:p>
        </w:tc>
        <w:tc>
          <w:tcPr/>
          <w:p>
            <w:pPr>
              <w:pStyle w:val="Compact"/>
              <w:jc w:val="left"/>
            </w:pPr>
            <w:r>
              <w:t xml:space="preserve">$0.10</w:t>
            </w:r>
          </w:p>
        </w:tc>
        <w:tc>
          <w:tcPr/>
          <w:p>
            <w:pPr>
              <w:pStyle w:val="Compact"/>
              <w:jc w:val="left"/>
            </w:pPr>
            <w:r>
              <w:t xml:space="preserve">$1.00</w:t>
            </w:r>
          </w:p>
        </w:tc>
        <w:tc>
          <w:tcPr/>
          <w:p>
            <w:pPr>
              <w:pStyle w:val="Compact"/>
              <w:jc w:val="left"/>
            </w:pPr>
            <w:r>
              <w:t xml:space="preserve">55%</w:t>
            </w:r>
          </w:p>
        </w:tc>
        <w:tc>
          <w:tcPr/>
          <w:p>
            <w:pPr>
              <w:pStyle w:val="Compact"/>
              <w:jc w:val="left"/>
            </w:pPr>
            <w:r>
              <w:t xml:space="preserve">0.01</w:t>
            </w:r>
          </w:p>
        </w:tc>
        <w:tc>
          <w:tcPr/>
          <w:p>
            <w:pPr>
              <w:pStyle w:val="Compact"/>
              <w:jc w:val="left"/>
            </w:pPr>
            <w:r>
              <w:t xml:space="preserve">$0.110</w:t>
            </w:r>
          </w:p>
        </w:tc>
      </w:tr>
      <w:tr>
        <w:tc>
          <w:tcPr/>
          <w:p>
            <w:pPr>
              <w:pStyle w:val="Compact"/>
              <w:jc w:val="left"/>
            </w:pPr>
            <w:r>
              <w:t xml:space="preserve">C2</w:t>
            </w:r>
          </w:p>
        </w:tc>
        <w:tc>
          <w:tcPr/>
          <w:p>
            <w:pPr>
              <w:pStyle w:val="Compact"/>
              <w:jc w:val="left"/>
            </w:pPr>
            <w:r>
              <w:t xml:space="preserve">$0.10</w:t>
            </w:r>
          </w:p>
        </w:tc>
        <w:tc>
          <w:tcPr/>
          <w:p>
            <w:pPr>
              <w:pStyle w:val="Compact"/>
              <w:jc w:val="left"/>
            </w:pPr>
            <w:r>
              <w:t xml:space="preserve">$0.80</w:t>
            </w:r>
          </w:p>
        </w:tc>
        <w:tc>
          <w:tcPr/>
          <w:p>
            <w:pPr>
              <w:pStyle w:val="Compact"/>
              <w:jc w:val="left"/>
            </w:pPr>
            <w:r>
              <w:t xml:space="preserve">91%</w:t>
            </w:r>
          </w:p>
        </w:tc>
        <w:tc>
          <w:tcPr/>
          <w:p>
            <w:pPr>
              <w:pStyle w:val="Compact"/>
              <w:jc w:val="left"/>
            </w:pPr>
            <w:r>
              <w:t xml:space="preserve">0.03</w:t>
            </w:r>
          </w:p>
        </w:tc>
        <w:tc>
          <w:tcPr/>
          <w:p>
            <w:pPr>
              <w:pStyle w:val="Compact"/>
              <w:jc w:val="left"/>
            </w:pPr>
            <w:r>
              <w:t xml:space="preserve">$0.124</w:t>
            </w:r>
          </w:p>
        </w:tc>
      </w:tr>
      <w:tr>
        <w:tc>
          <w:tcPr/>
          <w:p>
            <w:pPr>
              <w:pStyle w:val="Compact"/>
              <w:jc w:val="left"/>
            </w:pPr>
            <w:r>
              <w:t xml:space="preserve">C3</w:t>
            </w:r>
          </w:p>
        </w:tc>
        <w:tc>
          <w:tcPr/>
          <w:p>
            <w:pPr>
              <w:pStyle w:val="Compact"/>
              <w:jc w:val="left"/>
            </w:pPr>
            <w:r>
              <w:t xml:space="preserve">$0.10</w:t>
            </w:r>
          </w:p>
        </w:tc>
        <w:tc>
          <w:tcPr/>
          <w:p>
            <w:pPr>
              <w:pStyle w:val="Compact"/>
              <w:jc w:val="left"/>
            </w:pPr>
            <w:r>
              <w:t xml:space="preserve">$1.50</w:t>
            </w:r>
          </w:p>
        </w:tc>
        <w:tc>
          <w:tcPr/>
          <w:p>
            <w:pPr>
              <w:pStyle w:val="Compact"/>
              <w:jc w:val="left"/>
            </w:pPr>
            <w:r>
              <w:t xml:space="preserve">96%</w:t>
            </w:r>
          </w:p>
        </w:tc>
        <w:tc>
          <w:tcPr/>
          <w:p>
            <w:pPr>
              <w:pStyle w:val="Compact"/>
              <w:jc w:val="left"/>
            </w:pPr>
            <w:r>
              <w:t xml:space="preserve">0.02</w:t>
            </w:r>
          </w:p>
        </w:tc>
        <w:tc>
          <w:tcPr/>
          <w:p>
            <w:pPr>
              <w:pStyle w:val="Compact"/>
              <w:jc w:val="left"/>
            </w:pPr>
            <w:r>
              <w:t xml:space="preserve">$0.130</w:t>
            </w:r>
          </w:p>
        </w:tc>
      </w:tr>
      <w:tr>
        <w:tc>
          <w:tcPr/>
          <w:p>
            <w:pPr>
              <w:pStyle w:val="Compact"/>
              <w:jc w:val="left"/>
            </w:pPr>
            <w:r>
              <w:t xml:space="preserve">C4</w:t>
            </w:r>
          </w:p>
        </w:tc>
        <w:tc>
          <w:tcPr/>
          <w:p>
            <w:pPr>
              <w:pStyle w:val="Compact"/>
              <w:jc w:val="left"/>
            </w:pPr>
            <w:r>
              <w:t xml:space="preserve">$0.10</w:t>
            </w:r>
          </w:p>
        </w:tc>
        <w:tc>
          <w:tcPr/>
          <w:p>
            <w:pPr>
              <w:pStyle w:val="Compact"/>
              <w:jc w:val="left"/>
            </w:pPr>
            <w:r>
              <w:t xml:space="preserve">$1.00</w:t>
            </w:r>
          </w:p>
        </w:tc>
        <w:tc>
          <w:tcPr/>
          <w:p>
            <w:pPr>
              <w:pStyle w:val="Compact"/>
              <w:jc w:val="left"/>
            </w:pPr>
            <w:r>
              <w:t xml:space="preserve">128%</w:t>
            </w:r>
          </w:p>
        </w:tc>
        <w:tc>
          <w:tcPr/>
          <w:p>
            <w:pPr>
              <w:pStyle w:val="Compact"/>
              <w:jc w:val="left"/>
            </w:pPr>
            <w:r>
              <w:t xml:space="preserve">0.07</w:t>
            </w:r>
          </w:p>
        </w:tc>
        <w:tc>
          <w:tcPr/>
          <w:p>
            <w:pPr>
              <w:pStyle w:val="Compact"/>
              <w:jc w:val="left"/>
            </w:pPr>
            <w:r>
              <w:t xml:space="preserve">$0.170</w:t>
            </w:r>
          </w:p>
        </w:tc>
      </w:tr>
    </w:tbl>
    <w:p>
      <w:pPr>
        <w:pStyle w:val="BodyText"/>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66"/>
    <w:bookmarkEnd w:id="67"/>
    <w:bookmarkStart w:id="68" w:name="references"/>
    <w:p>
      <w:pPr>
        <w:pStyle w:val="Heading2"/>
      </w:pPr>
      <w:r>
        <w:t xml:space="preserve">References</w:t>
      </w:r>
    </w:p>
    <w:p>
      <w:pPr>
        <w:pStyle w:val="Compact"/>
        <w:numPr>
          <w:ilvl w:val="0"/>
          <w:numId w:val="1004"/>
        </w:numPr>
      </w:pPr>
      <w:r>
        <w:t xml:space="preserve">Q. Huangfu and J. A. J. Hall. Parallelizing the dual revised simplex method.</w:t>
      </w:r>
      <w:r>
        <w:t xml:space="preserve"> </w:t>
      </w:r>
      <w:r>
        <w:rPr>
          <w:i/>
          <w:iCs/>
        </w:rPr>
        <w:t xml:space="preserve">Mathematical Programming Computation</w:t>
      </w:r>
      <w:r>
        <w:t xml:space="preserve">, 10(1):119–142, 2018.</w:t>
      </w:r>
    </w:p>
    <w:p>
      <w:pPr>
        <w:pStyle w:val="Compact"/>
        <w:numPr>
          <w:ilvl w:val="0"/>
          <w:numId w:val="1004"/>
        </w:numPr>
      </w:pPr>
      <w:r>
        <w:t xml:space="preserve">Alibaba Tianchi. Ad Display/Click Data on Taobao.com. Dataset 56, tianchi.aliyun.com/dataset/56, accessed August 2026.</w:t>
      </w:r>
    </w:p>
    <w:p>
      <w:pPr>
        <w:pStyle w:val="Compact"/>
        <w:numPr>
          <w:ilvl w:val="0"/>
          <w:numId w:val="1004"/>
        </w:numPr>
      </w:pP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Compact"/>
        <w:numPr>
          <w:ilvl w:val="0"/>
          <w:numId w:val="1004"/>
        </w:numPr>
      </w:pPr>
      <w:r>
        <w:t xml:space="preserve">Avazu. Click-Through Rate Prediction. Kaggle competition, kaggle.com/c/avazu-ctr-prediction, 2014, accessed August 2026.</w:t>
      </w:r>
    </w:p>
    <w:p>
      <w:pPr>
        <w:pStyle w:val="Compact"/>
        <w:numPr>
          <w:ilvl w:val="0"/>
          <w:numId w:val="1004"/>
        </w:numPr>
      </w:pPr>
      <w:r>
        <w:t xml:space="preserve">A. Mehta. Online Matching and Ad Allocation.</w:t>
      </w:r>
      <w:r>
        <w:t xml:space="preserve"> </w:t>
      </w:r>
      <w:r>
        <w:rPr>
          <w:i/>
          <w:iCs/>
        </w:rPr>
        <w:t xml:space="preserve">Foundations and Trends in Theoretical Computer Science</w:t>
      </w:r>
      <w:r>
        <w:t xml:space="preserve">, 8(4):265–368, 2013.</w:t>
      </w:r>
    </w:p>
    <w:p>
      <w:pPr>
        <w:pStyle w:val="Compact"/>
        <w:numPr>
          <w:ilvl w:val="0"/>
          <w:numId w:val="1004"/>
        </w:numPr>
      </w:pP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Compact"/>
        <w:numPr>
          <w:ilvl w:val="0"/>
          <w:numId w:val="1004"/>
        </w:numPr>
      </w:pP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Compact"/>
        <w:numPr>
          <w:ilvl w:val="0"/>
          <w:numId w:val="1004"/>
        </w:numPr>
      </w:pP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Compact"/>
        <w:numPr>
          <w:ilvl w:val="0"/>
          <w:numId w:val="1004"/>
        </w:numPr>
      </w:pP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Compact"/>
        <w:numPr>
          <w:ilvl w:val="0"/>
          <w:numId w:val="1004"/>
        </w:numPr>
      </w:pPr>
      <w:r>
        <w:t xml:space="preserve">S. Agrawal, Z. Wang, and Y. Ye. A dynamic near-optimal algorithm for online linear programming.</w:t>
      </w:r>
      <w:r>
        <w:t xml:space="preserve"> </w:t>
      </w:r>
      <w:r>
        <w:rPr>
          <w:i/>
          <w:iCs/>
        </w:rPr>
        <w:t xml:space="preserve">Operations Research</w:t>
      </w:r>
      <w:r>
        <w:t xml:space="preserve">, 62(4):876–890, 2014.</w:t>
      </w:r>
    </w:p>
    <w:p>
      <w:pPr>
        <w:pStyle w:val="Compact"/>
        <w:numPr>
          <w:ilvl w:val="0"/>
          <w:numId w:val="1004"/>
        </w:numPr>
      </w:pP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Compact"/>
        <w:numPr>
          <w:ilvl w:val="0"/>
          <w:numId w:val="1004"/>
        </w:numPr>
      </w:pP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Compact"/>
        <w:numPr>
          <w:ilvl w:val="0"/>
          <w:numId w:val="1004"/>
        </w:numPr>
      </w:pP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Compact"/>
        <w:numPr>
          <w:ilvl w:val="0"/>
          <w:numId w:val="1004"/>
        </w:numPr>
      </w:pP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Compact"/>
        <w:numPr>
          <w:ilvl w:val="0"/>
          <w:numId w:val="1004"/>
        </w:numPr>
      </w:pP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Compact"/>
        <w:numPr>
          <w:ilvl w:val="0"/>
          <w:numId w:val="1004"/>
        </w:numPr>
      </w:pP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Compact"/>
        <w:numPr>
          <w:ilvl w:val="0"/>
          <w:numId w:val="1004"/>
        </w:numPr>
      </w:pP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Compact"/>
        <w:numPr>
          <w:ilvl w:val="0"/>
          <w:numId w:val="1004"/>
        </w:numPr>
      </w:pP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Compact"/>
        <w:numPr>
          <w:ilvl w:val="0"/>
          <w:numId w:val="1004"/>
        </w:numPr>
      </w:pP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Compact"/>
        <w:numPr>
          <w:ilvl w:val="0"/>
          <w:numId w:val="1004"/>
        </w:numPr>
      </w:pP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Compact"/>
        <w:numPr>
          <w:ilvl w:val="0"/>
          <w:numId w:val="1004"/>
        </w:numPr>
      </w:pP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Compact"/>
        <w:numPr>
          <w:ilvl w:val="0"/>
          <w:numId w:val="1004"/>
        </w:numPr>
      </w:pP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Compact"/>
        <w:numPr>
          <w:ilvl w:val="0"/>
          <w:numId w:val="1004"/>
        </w:numPr>
      </w:pP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Compact"/>
        <w:numPr>
          <w:ilvl w:val="0"/>
          <w:numId w:val="1004"/>
        </w:numPr>
      </w:pP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p>
      <w:pPr>
        <w:pStyle w:val="FirstParagraph"/>
      </w:pPr>
      <w:r>
        <w:t xml:space="preserve">Preprint, August 2026. Code and replay harness: github.com/ApartsinProjects/optimal-impression-allocation.</w:t>
      </w:r>
    </w:p>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hyperlink" Id="rId24" Target="https://apartsinprojects.github.io/optimal-impression-allocation/paper.pdf" TargetMode="External" /><Relationship Type="http://schemas.openxmlformats.org/officeDocument/2006/relationships/hyperlink" Id="rId23" Target="https://apartsinprojects.github.io/optimal-impression-allocation/paper_1col.docx" TargetMode="External" /><Relationship Type="http://schemas.openxmlformats.org/officeDocument/2006/relationships/hyperlink" Id="rId22" Target="https://apartsinprojects.github.io/optimal-impression-allocation/paper_2col.docx" TargetMode="External" /><Relationship Type="http://schemas.openxmlformats.org/officeDocument/2006/relationships/hyperlink" Id="rId20" Target="https://apartsinprojects.github.io/optimal-impression-allocation/paper_latex.pdf" TargetMode="External" /><Relationship Type="http://schemas.openxmlformats.org/officeDocument/2006/relationships/hyperlink" Id="rId21" Target="https://apartsinprojects.github.io/optimal-impression-allocation/paper_latex_src.zip" TargetMode="External" /></Relationships>
</file>

<file path=word/_rels/footnotes.xml.rels><?xml version="1.0" encoding="UTF-8"?><Relationships xmlns="http://schemas.openxmlformats.org/package/2006/relationships"><Relationship Type="http://schemas.openxmlformats.org/officeDocument/2006/relationships/hyperlink" Id="rId24" Target="https://apartsinprojects.github.io/optimal-impression-allocation/paper.pdf" TargetMode="External" /><Relationship Type="http://schemas.openxmlformats.org/officeDocument/2006/relationships/hyperlink" Id="rId23" Target="https://apartsinprojects.github.io/optimal-impression-allocation/paper_1col.docx" TargetMode="External" /><Relationship Type="http://schemas.openxmlformats.org/officeDocument/2006/relationships/hyperlink" Id="rId22" Target="https://apartsinprojects.github.io/optimal-impression-allocation/paper_2col.docx" TargetMode="External" /><Relationship Type="http://schemas.openxmlformats.org/officeDocument/2006/relationships/hyperlink" Id="rId20" Target="https://apartsinprojects.github.io/optimal-impression-allocation/paper_latex.pdf" TargetMode="External" /><Relationship Type="http://schemas.openxmlformats.org/officeDocument/2006/relationships/hyperlink" Id="rId21" Target="https://apartsinprojects.github.io/optimal-impression-allocation/paper_latex_src.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2026-09-01T17:06:00Z</dcterms:created>
  <dcterms:modified xsi:type="dcterms:W3CDTF">2026-09-01T17:06:00Z</dcterms:modified>
</cp:coreProperties>
</file>

<file path=docProps/custom.xml><?xml version="1.0" encoding="utf-8"?>
<Properties xmlns="http://schemas.openxmlformats.org/officeDocument/2006/custom-properties" xmlns:vt="http://schemas.openxmlformats.org/officeDocument/2006/docPropsVTypes"/>
</file>