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Xe0b23c8d3b07adb668ac266dbda4e510f440088"/>
    <w:p>
      <w:pPr>
        <w:pStyle w:val="Title"/>
        <w:spacing w:before="0" w:after="160"/>
        <w:jc w:val="center"/>
        <w:keepNext/>
        <w:keepLines/>
        <w:widowControl w:val="1"/>
      </w:pPr>
      <w:r>
        <w:t xml:space="preserve">Impression Allocation under Campaign Quotas: A Persistence Rule for Segmentation and a Regime Map for Pacing</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2"/>
              </w:rPr>
              <w:t>Alexander Apartsin</w:t>
            </w:r>
            <w:r>
              <w:rPr>
                <w:rFonts w:ascii="Georgia" w:hAnsi="Georgia"/>
                <w:b/>
                <w:i w:val="0"/>
                <w:sz w:val="22"/>
                <w:vertAlign w:val="superscript"/>
              </w:rPr>
              <w:t>1</w:t>
            </w:r>
            <w:r>
              <w:rPr>
                <w:rFonts w:ascii="Georgia" w:hAnsi="Georgia"/>
                <w:b/>
                <w:i w:val="0"/>
                <w:sz w:val="22"/>
              </w:rPr>
              <w:t xml:space="preserve"> · Yehudit Aperstein</w:t>
            </w:r>
            <w:r>
              <w:rPr>
                <w:rFonts w:ascii="Georgia" w:hAnsi="Georgia"/>
                <w:b/>
                <w:i w:val="0"/>
                <w:sz w:val="22"/>
                <w:vertAlign w:val="superscript"/>
              </w:rPr>
              <w:t>2</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19"/>
                <w:vertAlign w:val="superscript"/>
              </w:rPr>
              <w:t>1</w:t>
            </w:r>
            <w:r>
              <w:rPr>
                <w:rFonts w:ascii="Georgia" w:hAnsi="Georgia"/>
                <w:b w:val="0"/>
                <w:i/>
                <w:sz w:val="19"/>
              </w:rPr>
              <w:t>School of Computer Science, Faculty of Sciences, Holon Institute of Technology (HIT), Holon, Israel</w:t>
            </w:r>
            <w:r>
              <w:rPr>
                <w:rFonts w:ascii="Georgia" w:hAnsi="Georgia"/>
                <w:b w:val="0"/>
                <w:i/>
                <w:sz w:val="19"/>
                <w:vertAlign w:val="superscript"/>
              </w:rPr>
              <w:t>2</w:t>
            </w:r>
            <w:r>
              <w:rPr>
                <w:rFonts w:ascii="Georgia" w:hAnsi="Georgia"/>
                <w:b w:val="0"/>
                <w:i/>
                <w:sz w:val="19"/>
              </w:rPr>
              <w:t>Intelligent Systems, Afeka Academic College of Engineering, Tel-Aviv,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A platform that sells guaranteed impression quotas must decide, for each arriving user, which campaign’s booked impressions to spend, across many fine audience segments and under scarce supply. We show that with quotas fixed, only one thing can make one allocation beat another: the slice of click-through rate specific to a campaign-and-segment pairing, their</w:t>
      </w:r>
      <w:r>
        <w:t xml:space="preserve"> </w:t>
      </w:r>
      <w:r>
        <w:rPr>
          <w:i/>
          <w:iCs/>
        </w:rPr>
        <w:t xml:space="preserve">interaction</w:t>
      </w:r>
      <w:r>
        <w:t xml:space="preserve">, and only where it persists from one planning window to the next. This gives a simple rule an operator can commit to in advance: segment on the axes whose interaction persists, at the depth the per-cell data supports.</w:t>
      </w:r>
    </w:p>
    <w:p>
      <w:pPr>
        <w:pStyle w:val="BodyText"/>
        <w:ind w:left="432" w:right="432" w:firstLine="0"/>
        <w:jc w:val="both"/>
        <w:keepNext w:val="0"/>
        <w:keepLines w:val="0"/>
        <w:widowControl w:val="1"/>
      </w:pPr>
      <w:r>
        <w:t xml:space="preserve">On three public advertising logs (Taobao, Avazu, Outbrain), evaluated with a replay protocol hardened against a self-scoring bias and checked against a known-truth benchmark, the rule picks the segmentation that pays, and planning the allocation beats both greedy serving and online price-learning pacing. Two conditions set the payoff: the market must be contended, because an uncontended market yields little to allocate whatever the segmentation; and pacing prices should be obtained by solving and re-solving the plan, not learned online, which fails under heavy contention. The result is a three-step rule an operator can act on: probe persistence to choose the segments, measure contention to decide whether planning is worth it, and solve for the pacing prices.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8,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11"/>
    <w:bookmarkStart w:id="15" w:name="the-allocation-problem-a-worked-example"/>
    <w:p>
      <w:pPr>
        <w:pStyle w:val="Heading2"/>
        <w:keepNext/>
        <w:keepLines/>
        <w:widowControl w:val="1"/>
      </w:pPr>
      <w:r>
        <w:t xml:space="preserve">2</w:t>
      </w:r>
      <w:r>
        <w:t xml:space="preserve"> </w:t>
      </w:r>
      <w:r>
        <w:t xml:space="preserve">The allocation problem: a worked example</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1" title="" id="13" name="Picture"/>
                  <a:graphic>
                    <a:graphicData uri="http://schemas.openxmlformats.org/drawingml/2006/picture">
                      <pic:pic>
                        <pic:nvPicPr>
                          <pic:cNvPr descr="figs2col/fig1.png" id="14" name="Picture"/>
                          <pic:cNvPicPr>
                            <a:picLocks noChangeArrowheads="1" noChangeAspect="1"/>
                          </pic:cNvPicPr>
                        </pic:nvPicPr>
                        <pic:blipFill>
                          <a:blip r:embed="rId12"/>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15"/>
    <w:bookmarkStart w:id="17" w:name="formulation"/>
    <w:p>
      <w:pPr>
        <w:pStyle w:val="Heading2"/>
        <w:keepNext/>
        <w:keepLines/>
        <w:widowControl w:val="1"/>
      </w:pPr>
      <w:r>
        <w:t xml:space="preserve">3</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6" w:name="Xb8b18ac5c60ec5742410ace98e579bc138671d3"/>
    <w:p>
      <w:pPr>
        <w:pStyle w:val="Heading3"/>
        <w:keepNext/>
        <w:keepLines/>
        <w:widowControl w:val="1"/>
      </w:pPr>
      <w:r>
        <w:t xml:space="preserve">3.1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16"/>
    <w:bookmarkEnd w:id="17"/>
    <w:bookmarkStart w:id="19" w:name="replay-evaluation-protocol"/>
    <w:p>
      <w:pPr>
        <w:pStyle w:val="Heading2"/>
        <w:keepNext/>
        <w:keepLines/>
        <w:widowControl w:val="1"/>
      </w:pPr>
      <w:r>
        <w:t xml:space="preserve">4</w:t>
      </w:r>
      <w:r>
        <w:t xml:space="preserve"> </w:t>
      </w:r>
      <w:r>
        <w:t xml:space="preserve">Replay evaluation protocol</w:t>
      </w:r>
    </w:p>
    <w:p>
      <w:pPr>
        <w:pStyle w:val="FirstParagraph"/>
        <w:jc w:val="both"/>
        <w:keepNext w:val="0"/>
        <w:keepLines w:val="0"/>
        <w:widowControl w:val="1"/>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18" w:name="X888dfabe7f5ac870af14768d223c176646b6318"/>
    <w:p>
      <w:pPr>
        <w:pStyle w:val="Heading3"/>
        <w:keepNext/>
        <w:keepLines/>
        <w:widowControl w:val="1"/>
      </w:pPr>
      <w:r>
        <w:t xml:space="preserve">4.1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8"/>
    <w:bookmarkEnd w:id="19"/>
    <w:bookmarkStart w:id="20" w:name="the-persistence-rule"/>
    <w:p>
      <w:pPr>
        <w:pStyle w:val="Heading2"/>
        <w:keepNext/>
        <w:keepLines/>
        <w:widowControl w:val="1"/>
      </w:pPr>
      <w:r>
        <w:t xml:space="preserve">5</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20"/>
    <w:bookmarkStart w:id="24" w:name="the-regime-map"/>
    <w:p>
      <w:pPr>
        <w:pStyle w:val="Heading2"/>
        <w:keepNext/>
        <w:keepLines/>
        <w:widowControl w:val="1"/>
      </w:pPr>
      <w:r>
        <w:t xml:space="preserve">6</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2" title="" id="22" name="Picture"/>
                  <a:graphic>
                    <a:graphicData uri="http://schemas.openxmlformats.org/drawingml/2006/picture">
                      <pic:pic>
                        <pic:nvPicPr>
                          <pic:cNvPr descr="figs2col/fig2.png" id="23" name="Picture"/>
                          <pic:cNvPicPr>
                            <a:picLocks noChangeArrowheads="1" noChangeAspect="1"/>
                          </pic:cNvPicPr>
                        </pic:nvPicPr>
                        <pic:blipFill>
                          <a:blip r:embed="rId21"/>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24"/>
    <w:bookmarkStart w:id="28" w:name="simulation-as-calibration"/>
    <w:p>
      <w:pPr>
        <w:pStyle w:val="Heading2"/>
        <w:keepNext/>
        <w:keepLines/>
        <w:widowControl w:val="1"/>
      </w:pPr>
      <w:r>
        <w:t xml:space="preserve">7</w:t>
      </w:r>
      <w:r>
        <w:t xml:space="preserve"> </w:t>
      </w:r>
      <w:r>
        <w:t xml:space="preserve">Simulation as calibration</w:t>
      </w:r>
    </w:p>
    <w:p>
      <w:pPr>
        <w:pStyle w:val="FirstParagraph"/>
        <w:jc w:val="both"/>
        <w:keepNext w:val="0"/>
        <w:keepLines w:val="0"/>
        <w:widowControl w:val="1"/>
      </w:pPr>
      <w:r>
        <w:t xml:space="preserve">The regime map of Section 6 was measured by a replay harness; this section calibrates that harness on a fully synthetic market where ground truth is known and every quantity is controlled.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26" name="Picture"/>
                  <a:graphic>
                    <a:graphicData uri="http://schemas.openxmlformats.org/drawingml/2006/picture">
                      <pic:pic>
                        <pic:nvPicPr>
                          <pic:cNvPr descr="figs2col/fig3.png" id="27" name="Picture"/>
                          <pic:cNvPicPr>
                            <a:picLocks noChangeArrowheads="1" noChangeAspect="1"/>
                          </pic:cNvPicPr>
                        </pic:nvPicPr>
                        <pic:blipFill>
                          <a:blip r:embed="rId25"/>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28"/>
    <w:bookmarkStart w:id="29" w:name="a-reference-serving-architecture"/>
    <w:p>
      <w:pPr>
        <w:pStyle w:val="Heading2"/>
        <w:keepNext/>
        <w:keepLines/>
        <w:widowControl w:val="1"/>
      </w:pPr>
      <w:r>
        <w:t xml:space="preserve">8</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29"/>
    <w:bookmarkStart w:id="30" w:name="related-work"/>
    <w:p>
      <w:pPr>
        <w:pStyle w:val="Heading2"/>
        <w:keepNext/>
        <w:keepLines/>
        <w:widowControl w:val="1"/>
      </w:pPr>
      <w:r>
        <w:t xml:space="preserve">9</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30"/>
    <w:bookmarkStart w:id="31" w:name="discussion"/>
    <w:p>
      <w:pPr>
        <w:pStyle w:val="Heading2"/>
        <w:keepNext/>
        <w:keepLines/>
        <w:widowControl w:val="1"/>
      </w:pPr>
      <w:r>
        <w:t xml:space="preserve">10</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31"/>
    <w:bookmarkStart w:id="32" w:name="scope-and-assumptions"/>
    <w:p>
      <w:pPr>
        <w:pStyle w:val="Heading2"/>
        <w:keepNext/>
        <w:keepLines/>
        <w:widowControl w:val="1"/>
      </w:pPr>
      <w:r>
        <w:t xml:space="preserve">11</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32"/>
    <w:bookmarkStart w:id="51" w:name="X768eda5dc47c9e2fbd56372e290aa93bfab37c7"/>
    <w:p>
      <w:pPr>
        <w:pStyle w:val="Heading2"/>
        <w:keepNext/>
        <w:keepLines/>
        <w:widowControl w:val="1"/>
      </w:pPr>
      <w:r>
        <w:t xml:space="preserve">Appendix A. Reference serving architecture</w:t>
      </w:r>
    </w:p>
    <w:p>
      <w:pPr>
        <w:pStyle w:val="FirstParagraph"/>
        <w:jc w:val="both"/>
        <w:keepNext w:val="0"/>
        <w:keepLines w:val="0"/>
        <w:widowControl w:val="1"/>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33" w:name="Xa31f11580875970f34b111f76672a43985c73f8"/>
    <w:p>
      <w:pPr>
        <w:pStyle w:val="Heading3"/>
        <w:keepNext/>
        <w:keepLines/>
        <w:widowControl w:val="1"/>
      </w:pPr>
      <w:r>
        <w:t xml:space="preserve">A.1 The offline stage: learning the inputs to the plan</w:t>
      </w:r>
    </w:p>
    <w:p>
      <w:pPr>
        <w:pStyle w:val="FirstParagraph"/>
        <w:jc w:val="both"/>
        <w:keepNext w:val="0"/>
        <w:keepLines w:val="0"/>
        <w:widowControl w:val="1"/>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2"/>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2"/>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bookmarkEnd w:id="33"/>
    <w:bookmarkStart w:id="34" w:name="a.1.1-response-records"/>
    <w:p>
      <w:pPr>
        <w:pStyle w:val="Heading3"/>
        <w:keepNext/>
        <w:keepLines/>
        <w:widowControl w:val="1"/>
      </w:pPr>
      <w:r>
        <w:t xml:space="preserve">A.1.1 Response records</w:t>
      </w:r>
    </w:p>
    <w:p>
      <w:pPr>
        <w:pStyle w:val="FirstParagraph"/>
        <w:jc w:val="both"/>
        <w:keepNext w:val="0"/>
        <w:keepLines w:val="0"/>
        <w:widowControl w:val="1"/>
      </w:pPr>
      <w:r>
        <w:t xml:space="preserve">The atomic unit of evidence is an ad response record: who saw what, in what context, and whether they clicked.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4"/>
    <w:bookmarkStart w:id="35" w:name="a.1.2-proximity-and-clustering"/>
    <w:p>
      <w:pPr>
        <w:pStyle w:val="Heading3"/>
        <w:keepNext/>
        <w:keepLines/>
        <w:widowControl w:val="1"/>
      </w:pPr>
      <w:r>
        <w:t xml:space="preserve">A.1.2 Proximity and clustering</w:t>
      </w:r>
    </w:p>
    <w:p>
      <w:pPr>
        <w:pStyle w:val="FirstParagraph"/>
        <w:jc w:val="both"/>
        <w:keepNext w:val="0"/>
        <w:keepLines w:val="0"/>
        <w:widowControl w:val="1"/>
      </w:pPr>
      <w:r>
        <w:t xml:space="preserve">Subscribers are clustered by a weighted distance that mixes profile similarity with response-pattern similarity: response to the same campaigns (active and past) and to similar campaigns. Each attribute contributes its own distance component: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35"/>
    <w:bookmarkStart w:id="36" w:name="X8b2446043a77ae8c428cb2f72851e920fe1c4ed"/>
    <w:p>
      <w:pPr>
        <w:pStyle w:val="Heading3"/>
        <w:keepNext/>
        <w:keepLines/>
        <w:widowControl w:val="1"/>
      </w:pPr>
      <w:r>
        <w:t xml:space="preserve">A.1.3 Cluster representation and click estimation</w:t>
      </w:r>
    </w:p>
    <w:p>
      <w:pPr>
        <w:pStyle w:val="FirstParagraph"/>
        <w:jc w:val="both"/>
        <w:keepNext w:val="0"/>
        <w:keepLines w:val="0"/>
        <w:widowControl w:val="1"/>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6"/>
    <w:bookmarkStart w:id="37" w:name="X2728b61a2ed01e7aae0fb7efa1e42ffc1e64944"/>
    <w:p>
      <w:pPr>
        <w:pStyle w:val="Heading3"/>
        <w:keepNext/>
        <w:keepLines/>
        <w:widowControl w:val="1"/>
      </w:pPr>
      <w:r>
        <w:t xml:space="preserve">A.1.4 Compiling the plan into lookup tables</w:t>
      </w:r>
    </w:p>
    <w:p>
      <w:pPr>
        <w:pStyle w:val="FirstParagraph"/>
        <w:jc w:val="both"/>
        <w:keepNext w:val="0"/>
        <w:keepLines w:val="0"/>
        <w:widowControl w:val="1"/>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7"/>
    <w:bookmarkStart w:id="41" w:name="X4b4881ba4a2c69f1986b51a46ce2020ac7b4091"/>
    <w:p>
      <w:pPr>
        <w:pStyle w:val="Heading3"/>
        <w:keepNext/>
        <w:keepLines/>
        <w:widowControl w:val="1"/>
      </w:pPr>
      <w:r>
        <w:t xml:space="preserve">A.2 The online stage: executing the plan in real time</w:t>
      </w:r>
    </w:p>
    <w:p>
      <w:pPr>
        <w:pStyle w:val="FirstParagraph"/>
        <w:jc w:val="both"/>
        <w:keepNext w:val="0"/>
        <w:keepLines w:val="0"/>
        <w:widowControl w:val="1"/>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9" name="Picture"/>
                  <a:graphic>
                    <a:graphicData uri="http://schemas.openxmlformats.org/drawingml/2006/picture">
                      <pic:pic>
                        <pic:nvPicPr>
                          <pic:cNvPr descr="figs2col/fig4.png" id="40" name="Picture"/>
                          <pic:cNvPicPr>
                            <a:picLocks noChangeArrowheads="1" noChangeAspect="1"/>
                          </pic:cNvPicPr>
                        </pic:nvPicPr>
                        <pic:blipFill>
                          <a:blip r:embed="rId38"/>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1"/>
    <w:bookmarkStart w:id="45" w:name="a.2.1-the-seven-step-decision"/>
    <w:p>
      <w:pPr>
        <w:pStyle w:val="Heading3"/>
        <w:keepNext/>
        <w:keepLines/>
        <w:widowControl w:val="1"/>
      </w:pPr>
      <w:r>
        <w:t xml:space="preserve">A.2.1 The seven-step decision</w:t>
      </w:r>
    </w:p>
    <w:p>
      <w:pPr>
        <w:pStyle w:val="Compact"/>
        <w:numPr>
          <w:ilvl w:val="0"/>
          <w:numId w:val="1003"/>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3" name="Picture"/>
                  <a:graphic>
                    <a:graphicData uri="http://schemas.openxmlformats.org/drawingml/2006/picture">
                      <pic:pic>
                        <pic:nvPicPr>
                          <pic:cNvPr descr="figs2col/fig5.png" id="44" name="Picture"/>
                          <pic:cNvPicPr>
                            <a:picLocks noChangeArrowheads="1" noChangeAspect="1"/>
                          </pic:cNvPicPr>
                        </pic:nvPicPr>
                        <pic:blipFill>
                          <a:blip r:embed="rId42"/>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5"/>
    <w:bookmarkStart w:id="46" w:name="X177b7c0bc4741b5b22d40a3d16b0d67309e222e"/>
    <w:p>
      <w:pPr>
        <w:pStyle w:val="Heading3"/>
        <w:keepNext/>
        <w:keepLines/>
        <w:widowControl w:val="1"/>
      </w:pPr>
      <w:r>
        <w:t xml:space="preserve">A.2.2 Click prediction by soft membership</w:t>
      </w:r>
    </w:p>
    <w:p>
      <w:pPr>
        <w:pStyle w:val="FirstParagraph"/>
        <w:jc w:val="both"/>
        <w:keepNext w:val="0"/>
        <w:keepLines w:val="0"/>
        <w:widowControl w:val="1"/>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bookmarkEnd w:id="46"/>
    <w:bookmarkStart w:id="50" w:name="a.2.3-pacing-planned-versus-actual"/>
    <w:p>
      <w:pPr>
        <w:pStyle w:val="Heading3"/>
        <w:keepNext/>
        <w:keepLines/>
        <w:widowControl w:val="1"/>
      </w:pPr>
      <w:r>
        <w:t xml:space="preserve">A.2.3 Pacing: planned versus actual</w:t>
      </w:r>
    </w:p>
    <w:p>
      <w:pPr>
        <w:pStyle w:val="FirstParagraph"/>
        <w:jc w:val="both"/>
        <w:keepNext w:val="0"/>
        <w:keepLines w:val="0"/>
        <w:widowControl w:val="1"/>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8" name="Picture"/>
                  <a:graphic>
                    <a:graphicData uri="http://schemas.openxmlformats.org/drawingml/2006/picture">
                      <pic:pic>
                        <pic:nvPicPr>
                          <pic:cNvPr descr="figs2col/fig6.png" id="49" name="Picture"/>
                          <pic:cNvPicPr>
                            <a:picLocks noChangeArrowheads="1" noChangeAspect="1"/>
                          </pic:cNvPicPr>
                        </pic:nvPicPr>
                        <pic:blipFill>
                          <a:blip r:embed="rId47"/>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0"/>
    <w:bookmarkEnd w:id="51"/>
    <w:bookmarkStart w:id="52"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18"/>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18"/>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18"/>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18"/>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18"/>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18"/>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18"/>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18"/>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18"/>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18"/>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18"/>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18"/>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18"/>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18"/>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18"/>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18"/>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18"/>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18"/>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18"/>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18"/>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18"/>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18"/>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18"/>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ReferenceEntry"/>
        <w:spacing w:after="100"/>
        <w:ind w:left="475" w:hanging="475"/>
        <w:jc w:val="left"/>
        <w:keepNext w:val="0"/>
        <w:keepLines w:val="0"/>
        <w:widowControl w:val="1"/>
      </w:pPr>
      <w:r>
        <w:rPr>
          <w:rFonts w:ascii="Georgia" w:hAnsi="Georgia"/>
          <w:sz w:val="18"/>
        </w:rPr>
        <w:t xml:space="preserve">25. </w:t>
      </w:r>
      <w:r>
        <w:t xml:space="preserve">Preprint, August 2026. Code and replay harness: github.com/ApartsinProjects/optimal-impression-allocation.</w:t>
      </w:r>
    </w:p>
    <w:bookmarkEnd w:id="5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25" Type="http://schemas.openxmlformats.org/officeDocument/2006/relationships/image" Target="media/rId25.png"/><Relationship Id="rId38" Type="http://schemas.openxmlformats.org/officeDocument/2006/relationships/image" Target="media/rId38.png"/><Relationship Id="rId42" Type="http://schemas.openxmlformats.org/officeDocument/2006/relationships/image" Target="media/rId42.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2026-09-01T17:15:10Z</dcterms:created>
  <dcterms:modified xsi:type="dcterms:W3CDTF">2026-09-01T17:15:10Z</dcterms:modified>
</cp:coreProperties>
</file>

<file path=docProps/custom.xml><?xml version="1.0" encoding="utf-8"?>
<Properties xmlns="http://schemas.openxmlformats.org/officeDocument/2006/custom-properties" xmlns:vt="http://schemas.openxmlformats.org/officeDocument/2006/docPropsVTypes"/>
</file>