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2.png" ContentType="image/png"/>
  <Override PartName="/word/media/rId47.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20">
        <w:r>
          <w:rPr>
            <w:rStyle w:val="Hyperlink"/>
          </w:rPr>
          <w:t xml:space="preserve">↓ LaTeX PDF</w:t>
        </w:r>
      </w:hyperlink>
      <w:r>
        <w:t xml:space="preserve"> </w:t>
      </w:r>
      <w:hyperlink r:id="rId21">
        <w:r>
          <w:rPr>
            <w:rStyle w:val="Hyperlink"/>
          </w:rPr>
          <w:t xml:space="preserve">↓ 2-col PDF</w:t>
        </w:r>
      </w:hyperlink>
      <w:r>
        <w:t xml:space="preserve"> </w:t>
      </w:r>
      <w:hyperlink r:id="rId22">
        <w:r>
          <w:rPr>
            <w:rStyle w:val="Hyperlink"/>
          </w:rPr>
          <w:t xml:space="preserve">↓ 2-col DOCX</w:t>
        </w:r>
      </w:hyperlink>
      <w:r>
        <w:t xml:space="preserve"> </w:t>
      </w:r>
      <w:hyperlink r:id="rId23">
        <w:r>
          <w:rPr>
            <w:rStyle w:val="Hyperlink"/>
          </w:rPr>
          <w:t xml:space="preserve">↓ 1-col PDF</w:t>
        </w:r>
      </w:hyperlink>
      <w:r>
        <w:t xml:space="preserve"> </w:t>
      </w:r>
      <w:hyperlink r:id="rId24">
        <w:r>
          <w:rPr>
            <w:rStyle w:val="Hyperlink"/>
          </w:rPr>
          <w:t xml:space="preserve">↓ 1-col DOCX</w:t>
        </w:r>
      </w:hyperlink>
    </w:p>
    <w:p>
      <w:pPr>
        <w:pStyle w:val="BodyText"/>
      </w:pPr>
      <w:r>
        <w:t xml:space="preserve">Preprint</w:t>
      </w:r>
    </w:p>
    <w:bookmarkStart w:id="25" w:name="Xe0b23c8d3b07adb668ac266dbda4e510f440088"/>
    <w:p>
      <w:pPr>
        <w:pStyle w:val="Heading1"/>
      </w:pPr>
      <w:r>
        <w:t xml:space="preserve">Impression Allocation under Campaign Quotas: A Persistence Rule for Segmentation and a Regime Map for Pacing</w:t>
      </w:r>
    </w:p>
    <w:p>
      <w:pPr>
        <w:pStyle w:val="FirstParagraph"/>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5"/>
    <w:bookmarkStart w:id="26" w:name="abstract"/>
    <w:p>
      <w:pPr>
        <w:pStyle w:val="Heading2"/>
      </w:pPr>
      <w:r>
        <w:t xml:space="preserve">Abstract</w:t>
      </w:r>
    </w:p>
    <w:p>
      <w:pPr>
        <w:pStyle w:val="FirstParagraph"/>
      </w:pPr>
      <w:r>
        <w:t xml:space="preserve">On platforms that own rich first-party audience data, a mobile operator or a retail-media network, advertising is sold as guaranteed delivery: each campaign books a fixed number of impressions to a finely targeted audience, and the platform must fill that quota. A single visitor belongs to many of these audiences at once, so several campaigns are eligible for the same impression while only one can be served, and the most valuable audiences are the most contested. Serving each impression to whichever campaign is most likely to click it now spends these scarce, high-response segments on broadly popular campaigns, so campaigns that do well only on those segments are left with a poor match; the loss is a failure to coordinate, not a failure to predict. With the quotas fixed, what makes one allocation better than another is not how campaigns or audiences perform on average, but how well specific campaign-and-audience pairs fit, and only the part of that fit that stays stable from one time period to the next. This yields a rule a platform can commit to in advance: build segments from the pairings whose fit is stable, at the resolution the data can estimate, then plan the allocation and re-solve it as delivery proceeds.</w:t>
      </w:r>
    </w:p>
    <w:p>
      <w:pPr>
        <w:pStyle w:val="BodyText"/>
      </w:pPr>
      <w:r>
        <w:t xml:space="preserve">On three public advertising logs (Taobao, Avazu, Outbrain), with a replay method guarded against grading a plan on its own estimates and verified against a synthetic market whose answer is known, planning this way beats both greedy serving and learning delivery prices online, which fails under heavy demand. One condition sets the payoff: audiences must be contested; where supply is ample, planning adds little. The recipe is three steps: choose segments by stable fit, measure contention, and obtain prices by solving and re-solving the plan.</w:t>
      </w:r>
    </w:p>
    <w:bookmarkEnd w:id="26"/>
    <w:bookmarkStart w:id="27"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27"/>
    <w:bookmarkStart w:id="29" w:name="formulation"/>
    <w:p>
      <w:pPr>
        <w:pStyle w:val="Heading2"/>
      </w:pPr>
      <w:r>
        <w:t xml:space="preserve">2</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8" w:name="Xb8b18ac5c60ec5742410ace98e579bc138671d3"/>
    <w:p>
      <w:pPr>
        <w:pStyle w:val="Heading3"/>
      </w:pPr>
      <w:r>
        <w:t xml:space="preserve">2.1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t xml:space="preserve">The proof is a two-line expansion of the objective and appears in Appendix A.5.</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28"/>
    <w:bookmarkEnd w:id="29"/>
    <w:bookmarkStart w:id="31" w:name="replay-evaluation-protocol"/>
    <w:p>
      <w:pPr>
        <w:pStyle w:val="Heading2"/>
      </w:pPr>
      <w:r>
        <w:t xml:space="preserve">3</w:t>
      </w:r>
      <w:r>
        <w:t xml:space="preserve">Replay evaluation protocol</w:t>
      </w:r>
    </w:p>
    <w:p>
      <w:pPr>
        <w:pStyle w:val="FirstParagraph"/>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30" w:name="X888dfabe7f5ac870af14768d223c176646b6318"/>
    <w:p>
      <w:pPr>
        <w:pStyle w:val="Heading3"/>
      </w:pPr>
      <w:r>
        <w:t xml:space="preserve">3.1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30"/>
    <w:bookmarkEnd w:id="31"/>
    <w:bookmarkStart w:id="32" w:name="the-persistence-rule"/>
    <w:p>
      <w:pPr>
        <w:pStyle w:val="Heading2"/>
      </w:pPr>
      <w:r>
        <w:t xml:space="preserve">4</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2"/>
    <w:bookmarkStart w:id="36" w:name="the-regime-map"/>
    <w:p>
      <w:pPr>
        <w:pStyle w:val="Heading2"/>
      </w:pPr>
      <w:r>
        <w:t xml:space="preserve">5</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4" name="Picture"/>
                  <a:graphic>
                    <a:graphicData uri="http://schemas.openxmlformats.org/drawingml/2006/picture">
                      <pic:pic>
                        <pic:nvPicPr>
                          <pic:cNvPr descr="file:///E:/tmp/claude/E--Projects-Submitted-MobileAd-Comverse/464e82cd-870f-4dc1-b795-92348cf1a9b8/scratchpad/figs/fig1.png" id="35" name="Picture"/>
                          <pic:cNvPicPr>
                            <a:picLocks noChangeArrowheads="1" noChangeAspect="1"/>
                          </pic:cNvPicPr>
                        </pic:nvPicPr>
                        <pic:blipFill>
                          <a:blip r:embed="rId33"/>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36"/>
    <w:bookmarkStart w:id="37" w:name="a-reference-serving-architecture"/>
    <w:p>
      <w:pPr>
        <w:pStyle w:val="Heading2"/>
      </w:pPr>
      <w:r>
        <w:t xml:space="preserve">6</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37"/>
    <w:bookmarkStart w:id="38" w:name="related-work"/>
    <w:p>
      <w:pPr>
        <w:pStyle w:val="Heading2"/>
      </w:pPr>
      <w:r>
        <w:t xml:space="preserve">7</w:t>
      </w:r>
      <w:r>
        <w:t xml:space="preserve">Related work</w:t>
      </w:r>
    </w:p>
    <w:p>
      <w:pPr>
        <w:pStyle w:val="FirstParagraph"/>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Line of work</w:t>
            </w:r>
          </w:p>
        </w:tc>
        <w:tc>
          <w:tcPr/>
          <w:p>
            <w:pPr>
              <w:pStyle w:val="Compact"/>
              <w:jc w:val="left"/>
            </w:pPr>
            <w:r>
              <w:t xml:space="preserve">Prescribes the</w:t>
            </w:r>
            <w:r>
              <w:br/>
            </w:r>
            <w:r>
              <w:t xml:space="preserve">segmentation</w:t>
            </w:r>
          </w:p>
        </w:tc>
        <w:tc>
          <w:tcPr/>
          <w:p>
            <w:pPr>
              <w:pStyle w:val="Compact"/>
              <w:jc w:val="left"/>
            </w:pPr>
            <w:r>
              <w:t xml:space="preserve">Pre-committed,</w:t>
            </w:r>
            <w:r>
              <w:br/>
            </w:r>
            <w:r>
              <w:t xml:space="preserve">blind test</w:t>
            </w:r>
          </w:p>
        </w:tc>
        <w:tc>
          <w:tcPr/>
          <w:p>
            <w:pPr>
              <w:pStyle w:val="Compact"/>
              <w:jc w:val="left"/>
            </w:pPr>
            <w:r>
              <w:t xml:space="preserve">Public-log,</w:t>
            </w:r>
            <w:r>
              <w:br/>
            </w:r>
            <w:r>
              <w:t xml:space="preserve">hardened OPE</w:t>
            </w:r>
          </w:p>
        </w:tc>
        <w:tc>
          <w:tcPr/>
          <w:p>
            <w:pPr>
              <w:pStyle w:val="Compact"/>
              <w:jc w:val="left"/>
            </w:pPr>
            <w:r>
              <w:t xml:space="preserve">Regime map</w:t>
            </w:r>
            <w:r>
              <w:br/>
            </w:r>
            <w:r>
              <w:t xml:space="preserve">(plan vs. adapt)</w:t>
            </w:r>
          </w:p>
        </w:tc>
        <w:tc>
          <w:tcPr/>
          <w:p>
            <w:pPr>
              <w:pStyle w:val="Compact"/>
              <w:jc w:val="left"/>
            </w:pPr>
            <w:r>
              <w:t xml:space="preserve">Revenue with</w:t>
            </w:r>
            <w:r>
              <w:br/>
            </w:r>
            <w:r>
              <w:t xml:space="preserve">guarantees</w:t>
            </w:r>
          </w:p>
        </w:tc>
      </w:tr>
      <w:tr>
        <w:tc>
          <w:tcPr/>
          <w:p>
            <w:pPr>
              <w:pStyle w:val="Compact"/>
              <w:jc w:val="left"/>
            </w:pPr>
            <w:r>
              <w:t xml:space="preserve">Online matching, AdWords [6, 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Random-permutation online LP [8–10]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Guaranteed display: forecasts, SHALE [11, 12]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Dual mirror descent [21]</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Yield optimization, ad exchange [22]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Budget-pacing controllers [13, 14]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rPr>
                <w:b/>
                <w:bCs/>
              </w:rPr>
              <w:t xml:space="preserve">This paper</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r>
    </w:tbl>
    <w:p>
      <w:pPr>
        <w:pStyle w:val="BodyText"/>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38"/>
    <w:bookmarkStart w:id="39" w:name="discussion"/>
    <w:p>
      <w:pPr>
        <w:pStyle w:val="Heading2"/>
      </w:pPr>
      <w:r>
        <w:t xml:space="preserve">8</w:t>
      </w:r>
      <w:r>
        <w:t xml:space="preserve">Discussion</w:t>
      </w:r>
    </w:p>
    <w:p>
      <w:pPr>
        <w:pStyle w:val="FirstParagraph"/>
      </w:pPr>
      <w:r>
        <w:t xml:space="preserve">Four design principles carry the empirical findings, persistence-chosen segments, solved prices, and a re-solve cadence, into a deployable system.</w:t>
      </w:r>
    </w:p>
    <w:p>
      <w:pPr>
        <w:pStyle w:val="BodyText"/>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9"/>
    <w:bookmarkStart w:id="40" w:name="scope-and-assumptions"/>
    <w:p>
      <w:pPr>
        <w:pStyle w:val="Heading2"/>
      </w:pPr>
      <w:r>
        <w:t xml:space="preserve">9</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0"/>
    <w:bookmarkStart w:id="41" w:name="references"/>
    <w:p>
      <w:pPr>
        <w:pStyle w:val="Heading2"/>
      </w:pPr>
      <w:r>
        <w:t xml:space="preserve">References</w:t>
      </w:r>
    </w:p>
    <w:p>
      <w:pPr>
        <w:pStyle w:val="Compact"/>
        <w:numPr>
          <w:ilvl w:val="0"/>
          <w:numId w:val="1002"/>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2"/>
        </w:numPr>
      </w:pPr>
      <w:r>
        <w:t xml:space="preserve">Alibaba Tianchi. Ad Display/Click Data on Taobao.com. Dataset 56, tianchi.aliyun.com/dataset/56, accessed August 2026.</w:t>
      </w:r>
    </w:p>
    <w:p>
      <w:pPr>
        <w:pStyle w:val="Compact"/>
        <w:numPr>
          <w:ilvl w:val="0"/>
          <w:numId w:val="1002"/>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2"/>
        </w:numPr>
      </w:pPr>
      <w:r>
        <w:t xml:space="preserve">Avazu. Click-Through Rate Prediction. Kaggle competition, kaggle.com/c/avazu-ctr-prediction, 2014, accessed August 2026.</w:t>
      </w:r>
    </w:p>
    <w:p>
      <w:pPr>
        <w:pStyle w:val="Compact"/>
        <w:numPr>
          <w:ilvl w:val="0"/>
          <w:numId w:val="1002"/>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2"/>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2"/>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2"/>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2"/>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2"/>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2"/>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2"/>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2"/>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2"/>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2"/>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2"/>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2"/>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2"/>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2"/>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2"/>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2"/>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2"/>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2"/>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2"/>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41"/>
    <w:bookmarkStart w:id="62" w:name="appendix"/>
    <w:p>
      <w:pPr>
        <w:pStyle w:val="Heading2"/>
      </w:pPr>
      <w:r>
        <w:t xml:space="preserve">Appendix</w:t>
      </w:r>
    </w:p>
    <w:bookmarkStart w:id="45" w:name="Xf4ae4abe95e7ae1cb80a4c23dcfb8a20e4835ff"/>
    <w:p>
      <w:pPr>
        <w:pStyle w:val="Heading3"/>
      </w:pPr>
      <w:r>
        <w:t xml:space="preserve">A.1 Worked example: the cost of greedy serving</w:t>
      </w:r>
    </w:p>
    <w:p>
      <w:pPr>
        <w:pStyle w:val="FirstParagraph"/>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43" name="Picture"/>
                  <a:graphic>
                    <a:graphicData uri="http://schemas.openxmlformats.org/drawingml/2006/picture">
                      <pic:pic>
                        <pic:nvPicPr>
                          <pic:cNvPr descr="file:///E:/tmp/claude/E--Projects-Submitted-MobileAd-Comverse/464e82cd-870f-4dc1-b795-92348cf1a9b8/scratchpad/figs/fig2.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45"/>
    <w:bookmarkStart w:id="46" w:name="a.2-proof-of-interaction-invariance"/>
    <w:p>
      <w:pPr>
        <w:pStyle w:val="Heading3"/>
      </w:pPr>
      <w:r>
        <w:t xml:space="preserve">A.2 Proof of interaction invariance</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46"/>
    <w:bookmarkStart w:id="50" w:name="a.3-simulation-as-calibration"/>
    <w:p>
      <w:pPr>
        <w:pStyle w:val="Heading3"/>
      </w:pPr>
      <w:r>
        <w:t xml:space="preserve">A.3 Simulation as calibration</w:t>
      </w:r>
    </w:p>
    <w:p>
      <w:pPr>
        <w:pStyle w:val="FirstParagraph"/>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48" name="Picture"/>
                  <a:graphic>
                    <a:graphicData uri="http://schemas.openxmlformats.org/drawingml/2006/picture">
                      <pic:pic>
                        <pic:nvPicPr>
                          <pic:cNvPr descr="file:///E:/tmp/claude/E--Projects-Submitted-MobileAd-Comverse/464e82cd-870f-4dc1-b795-92348cf1a9b8/scratchpad/figs/fig3.png" id="49" name="Picture"/>
                          <pic:cNvPicPr>
                            <a:picLocks noChangeArrowheads="1" noChangeAspect="1"/>
                          </pic:cNvPicPr>
                        </pic:nvPicPr>
                        <pic:blipFill>
                          <a:blip r:embed="rId47"/>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50"/>
    <w:bookmarkStart w:id="51" w:name="a.4-extended-robustness-checks"/>
    <w:p>
      <w:pPr>
        <w:pStyle w:val="Heading3"/>
      </w:pPr>
      <w:r>
        <w:t xml:space="preserve">A.4 Extended robustness checks</w:t>
      </w:r>
    </w:p>
    <w:p>
      <w:pPr>
        <w:pStyle w:val="FirstParagraph"/>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51"/>
    <w:bookmarkStart w:id="61" w:name="a.5-reference-serving-architecture"/>
    <w:p>
      <w:pPr>
        <w:pStyle w:val="Heading3"/>
      </w:pPr>
      <w:r>
        <w:t xml:space="preserve">A.5 Reference serving architecture</w:t>
      </w:r>
    </w:p>
    <w:p>
      <w:pPr>
        <w:pStyle w:val="FirstParagraph"/>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pPr>
      <w:r>
        <w:t xml:space="preserve">The distribution of (context, profile) pairs observed in the past will recur in the future.</w:t>
      </w:r>
    </w:p>
    <w:p>
      <w:pPr>
        <w:pStyle w:val="Compact"/>
        <w:numPr>
          <w:ilvl w:val="0"/>
          <w:numId w:val="1003"/>
        </w:numPr>
      </w:pPr>
      <w:r>
        <w:t xml:space="preserve">Subscribers who responded similarly under similar conditions will continue to respond similarly.</w:t>
      </w:r>
    </w:p>
    <w:p>
      <w:pPr>
        <w:pStyle w:val="Compact"/>
        <w:numPr>
          <w:ilvl w:val="0"/>
          <w:numId w:val="1003"/>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p>
      <w:pPr>
        <w:pStyle w:val="BodyText"/>
      </w:pPr>
      <w:r>
        <w:rPr>
          <w:b/>
          <w:bCs/>
        </w:rPr>
        <w:t xml:space="preserve">records.</w:t>
      </w:r>
      <w:r>
        <w:t xml:space="preserve"> </w:t>
      </w: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3" name="Picture"/>
                  <a:graphic>
                    <a:graphicData uri="http://schemas.openxmlformats.org/drawingml/2006/picture">
                      <pic:pic>
                        <pic:nvPicPr>
                          <pic:cNvPr descr="file:///E:/tmp/claude/E--Projects-Submitted-MobileAd-Comverse/464e82cd-870f-4dc1-b795-92348cf1a9b8/scratchpad/figs/fig4.png" id="54" name="Picture"/>
                          <pic:cNvPicPr>
                            <a:picLocks noChangeArrowheads="1" noChangeAspect="1"/>
                          </pic:cNvPicPr>
                        </pic:nvPicPr>
                        <pic:blipFill>
                          <a:blip r:embed="rId52"/>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pPr>
      <w:r>
        <w:rPr>
          <w:b/>
          <w:bCs/>
        </w:rPr>
        <w:t xml:space="preserve">The seven-step decision.</w:t>
      </w:r>
    </w:p>
    <w:p>
      <w:pPr>
        <w:pStyle w:val="Compact"/>
        <w:numPr>
          <w:ilvl w:val="0"/>
          <w:numId w:val="1004"/>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6" name="Picture"/>
                  <a:graphic>
                    <a:graphicData uri="http://schemas.openxmlformats.org/drawingml/2006/picture">
                      <pic:pic>
                        <pic:nvPicPr>
                          <pic:cNvPr descr="file:///E:/tmp/claude/E--Projects-Submitted-MobileAd-Comverse/464e82cd-870f-4dc1-b795-92348cf1a9b8/scratchpad/figs/fig5.png" id="57" name="Picture"/>
                          <pic:cNvPicPr>
                            <a:picLocks noChangeArrowheads="1" noChangeAspect="1"/>
                          </pic:cNvPicPr>
                        </pic:nvPicPr>
                        <pic:blipFill>
                          <a:blip r:embed="rId55"/>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p>
      <w:pPr>
        <w:pStyle w:val="BodyText"/>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9" name="Picture"/>
                  <a:graphic>
                    <a:graphicData uri="http://schemas.openxmlformats.org/drawingml/2006/picture">
                      <pic:pic>
                        <pic:nvPicPr>
                          <pic:cNvPr descr="file:///E:/tmp/claude/E--Projects-Submitted-MobileAd-Comverse/464e82cd-870f-4dc1-b795-92348cf1a9b8/scratchpad/figs/fig6.png" id="60" name="Picture"/>
                          <pic:cNvPicPr>
                            <a:picLocks noChangeArrowheads="1" noChangeAspect="1"/>
                          </pic:cNvPicPr>
                        </pic:nvPicPr>
                        <pic:blipFill>
                          <a:blip r:embed="rId58"/>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pPr>
      <w:r>
        <w:t xml:space="preserve">Preprint, August 2026. Code and replay harness: github.com/ApartsinProjects/optimal-impression-allocation.</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24" Target="https://apartsinprojects.github.io/optimal-impression-allocation/paper_1col.docx" TargetMode="External" /><Relationship Type="http://schemas.openxmlformats.org/officeDocument/2006/relationships/hyperlink" Id="rId23" Target="https://apartsinprojects.github.io/optimal-impression-allocation/paper_1col.pdf"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1" Target="https://apartsinprojects.github.io/optimal-impression-allocation/paper_2col.pdf" TargetMode="External" /><Relationship Type="http://schemas.openxmlformats.org/officeDocument/2006/relationships/hyperlink" Id="rId20" Target="https://apartsinprojects.github.io/optimal-impression-allocation/paper_latex.pdf" TargetMode="External" /></Relationships>
</file>

<file path=word/_rels/footnotes.xml.rels><?xml version="1.0" encoding="UTF-8"?><Relationships xmlns="http://schemas.openxmlformats.org/package/2006/relationships"><Relationship Type="http://schemas.openxmlformats.org/officeDocument/2006/relationships/hyperlink" Id="rId24" Target="https://apartsinprojects.github.io/optimal-impression-allocation/paper_1col.docx" TargetMode="External" /><Relationship Type="http://schemas.openxmlformats.org/officeDocument/2006/relationships/hyperlink" Id="rId23" Target="https://apartsinprojects.github.io/optimal-impression-allocation/paper_1col.pdf"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1" Target="https://apartsinprojects.github.io/optimal-impression-allocation/paper_2col.pdf" TargetMode="External" /><Relationship Type="http://schemas.openxmlformats.org/officeDocument/2006/relationships/hyperlink" Id="rId20" Target="https://apartsinprojects.github.io/optimal-impression-allocation/paper_latex.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2026-09-01T18:28:43Z</dcterms:created>
  <dcterms:modified xsi:type="dcterms:W3CDTF">2026-09-01T18:28:43Z</dcterms:modified>
</cp:coreProperties>
</file>

<file path=docProps/custom.xml><?xml version="1.0" encoding="utf-8"?>
<Properties xmlns="http://schemas.openxmlformats.org/officeDocument/2006/custom-properties" xmlns:vt="http://schemas.openxmlformats.org/officeDocument/2006/docPropsVTypes"/>
</file>