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40.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Regime Map from Public Advertising Logs.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user-clustered inference (headline z = 4.55), and a propensity-weighted outcome bracket delimit what public logs can and cannot show. The protocol yields a regime map. At exact feasibility, plan-informed policies beat greedy serving by 3.5–4.7% expected clicks, and information-matched, feasibility-aware dual-price pacing nearly matches them. Under over-subscription (quotas at 110–150% of supply),</w:t>
      </w:r>
      <w:r>
        <w:t xml:space="preserve"> </w:t>
      </w:r>
      <w:r>
        <w:rPr>
          <w:i/>
          <w:iCs/>
        </w:rPr>
        <w:t xml:space="preserve">adaptive</w:t>
      </w:r>
      <w:r>
        <w:t xml:space="preserve"> </w:t>
      </w:r>
      <w:r>
        <w:t xml:space="preserve">dual-price pacing collapses below greedy, while a fixed dual policy pinned at the LP’s optimal prices stays positive and tracks the re-solved plan; the failure is online scalar adaptation, not per-campaign pricing. The periodically re-solved plan dominates every regime (+2.2 to +4.4% over greedy, z ≥ 3.4). The full ordering reproduces on a second, independent dataset (Outbrain, 87M impressions), where the adaptive collapse deepens to −44% while re-solving stays positive. The model-scored gains resist fatigue and support audits. Grounding them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Operator-run mobile advertising inverts that condition: verified profiles and gateway-complete response attribution support far finer segmentation, and fine segmentation is precisely what advertisers pay an operator for, not “males 18–49” but urban music buyers on sports content on weekend afternoons. That deployment setting motivated this study; Section 8 describes the serving design built for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dual-price adaptation collapses. Section 2 quantifies the cost of greedy serving on a minimal instance and Section 3 states the allocation program. Section 4 develops the replay protocol, Section 5 the persistence rule, and Section 6 the regime map. Section 7 calibrates the harness on a synthetic market with known ground truth, Section 8 presents the reference serving architecture that motivated the study,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7"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End w:id="27"/>
    <w:bookmarkStart w:id="28"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confirming the harness measures pairing quality and nothing else.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End w:id="28"/>
    <w:bookmarkStart w:id="29" w:name="the-persistence-rule"/>
    <w:p>
      <w:pPr>
        <w:pStyle w:val="Heading2"/>
      </w:pPr>
      <w:r>
        <w:t xml:space="preserve">5</w:t>
      </w:r>
      <w:r>
        <w:t xml:space="preserve">The persistence rule</w:t>
      </w:r>
    </w:p>
    <w:p>
      <w:pPr>
        <w:pStyle w:val="FirstParagraph"/>
      </w:pPr>
      <w:r>
        <w:t xml:space="preserve">Allocation under fixed quotas can exploit exactly one thing: campaign-by-segment</w:t>
      </w:r>
      <w:r>
        <w:t xml:space="preserve"> </w:t>
      </w:r>
      <w:r>
        <w:rPr>
          <w:i/>
          <w:iCs/>
        </w:rPr>
        <w:t xml:space="preserve">interaction</w:t>
      </w:r>
      <w:r>
        <w:t xml:space="preserve"> </w:t>
      </w:r>
      <w:r>
        <w:t xml:space="preserve">in click probability that persists from the planning window to the serving window. Campaign main effects persist strongly (week-over-week correlation 0.81) but fixed quotas neutralize them;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bookmarkEnd w:id="29"/>
    <w:bookmarkStart w:id="30"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Dual, fixed optimal prices</w:t>
            </w:r>
          </w:p>
        </w:tc>
        <w:tc>
          <w:tcPr/>
          <w:p>
            <w:pPr>
              <w:pStyle w:val="Compact"/>
              <w:jc w:val="left"/>
            </w:pPr>
            <w:r>
              <w:t xml:space="preserve">Dual, adaptive (warm)</w:t>
            </w:r>
          </w:p>
        </w:tc>
        <w:tc>
          <w:tcPr/>
          <w:p>
            <w:pPr>
              <w:pStyle w:val="Compact"/>
              <w:jc w:val="left"/>
            </w:pPr>
            <w:r>
              <w:t xml:space="preserve">Dual, adaptive (plain)</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+4.40% (6.7)</w:t>
            </w:r>
          </w:p>
        </w:tc>
        <w:tc>
          <w:tcPr/>
          <w:p>
            <w:pPr>
              <w:pStyle w:val="Compact"/>
              <w:jc w:val="left"/>
            </w:pPr>
            <w:r>
              <w:t xml:space="preserve">+4.63% (7.2)</w:t>
            </w:r>
          </w:p>
        </w:tc>
        <w:tc>
          <w:tcPr/>
          <w:p>
            <w:pPr>
              <w:pStyle w:val="Compact"/>
              <w:jc w:val="left"/>
            </w:pPr>
            <w:r>
              <w:t xml:space="preserve">+4.55% (7.7)</w:t>
            </w:r>
          </w:p>
        </w:tc>
        <w:tc>
          <w:tcPr/>
          <w:p>
            <w:pPr>
              <w:pStyle w:val="Compact"/>
              <w:jc w:val="left"/>
            </w:pPr>
            <w:r>
              <w:t xml:space="preserve">+3.43% (6.2)</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+0.09% (0.2)</w:t>
            </w:r>
          </w:p>
        </w:tc>
        <w:tc>
          <w:tcPr/>
          <w:p>
            <w:pPr>
              <w:pStyle w:val="Compact"/>
              <w:jc w:val="left"/>
            </w:pPr>
            <w:r>
              <w:t xml:space="preserve">−1.36% (−2.3)</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+3.04% (4.8)</w:t>
            </w:r>
          </w:p>
        </w:tc>
        <w:tc>
          <w:tcPr/>
          <w:p>
            <w:pPr>
              <w:pStyle w:val="Compact"/>
              <w:jc w:val="left"/>
            </w:pPr>
            <w:r>
              <w:t xml:space="preserve">+0.47% (0.8)</w:t>
            </w:r>
          </w:p>
        </w:tc>
        <w:tc>
          <w:tcPr/>
          <w:p>
            <w:pPr>
              <w:pStyle w:val="Compact"/>
              <w:jc w:val="left"/>
            </w:pPr>
            <w:r>
              <w:t xml:space="preserve">−4.19% (−6.7)</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+1.48% (2.4)</w:t>
            </w:r>
          </w:p>
        </w:tc>
        <w:tc>
          <w:tcPr/>
          <w:p>
            <w:pPr>
              <w:pStyle w:val="Compact"/>
              <w:jc w:val="left"/>
            </w:pPr>
            <w:r>
              <w:t xml:space="preserve">−0.97% (−1.5)</w:t>
            </w:r>
          </w:p>
        </w:tc>
        <w:tc>
          <w:tcPr/>
          <w:p>
            <w:pPr>
              <w:pStyle w:val="Compact"/>
              <w:jc w:val="left"/>
            </w:pPr>
            <w:r>
              <w:t xml:space="preserve">−8.33% (−12.1)</w:t>
            </w:r>
          </w:p>
        </w:tc>
      </w:tr>
    </w:tbl>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A fifth policy separates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randomized tie-breaking and</w:t>
      </w:r>
      <w:r>
        <w:t xml:space="preserve"> </w:t>
      </w:r>
      <w:r>
        <w:rPr>
          <w:i/>
          <w:iCs/>
        </w:rPr>
        <w:t xml:space="preserve">no</w:t>
      </w:r>
      <w:r>
        <w:t xml:space="preserve"> </w:t>
      </w:r>
      <w:r>
        <w:t xml:space="preserve">online update. It is a per-campaign-price policy that never adapts.</w:t>
      </w:r>
    </w:p>
    <w:p>
      <w:pPr>
        <w:pStyle w:val="BodyText"/>
      </w:pPr>
      <w:r>
        <w:t xml:space="preserve">At exact feasibility, all five strong policies cluster at the top; most of the value is the forecast itself, which each consumes. Under contention the policies split cleanly, and the split identifies the mechanism. The</w:t>
      </w:r>
      <w:r>
        <w:t xml:space="preserve"> </w:t>
      </w:r>
      <w:r>
        <w:rPr>
          <w:i/>
          <w:iCs/>
        </w:rPr>
        <w:t xml:space="preserve">adaptive</w:t>
      </w:r>
      <w:r>
        <w:t xml:space="preserve"> </w:t>
      </w:r>
      <w:r>
        <w:t xml:space="preserve">dual-price variants fall below greedy, steeply so as quotas tighten (the plain variant reaches −8.3% at 150% over-subscription, and warm-starting only delays the collapse). Yet the</w:t>
      </w:r>
      <w:r>
        <w:t xml:space="preserve"> </w:t>
      </w:r>
      <w:r>
        <w:rPr>
          <w:b/>
          <w:bCs/>
        </w:rPr>
        <w:t xml:space="preserve">fixed optimal-dual</w:t>
      </w:r>
      <w:r>
        <w:t xml:space="preserve"> </w:t>
      </w:r>
      <w:r>
        <w:t xml:space="preserve">policy, the same per-campaign-price form with its prices frozen at the LP optimum, stays positive at every contention level (+2.4%, +3.0%, +1.5%, z ≥ 2.4) and tracks the re-solved plan within about a percentage point. So it is not per-campaign pricing that fails under contention; a static price vector</w:t>
      </w:r>
      <w:r>
        <w:t xml:space="preserve"> </w:t>
      </w:r>
      <w:r>
        <w:rPr>
          <w:i/>
          <w:iCs/>
        </w:rPr>
        <w:t xml:space="preserve">can</w:t>
      </w:r>
      <w:r>
        <w:t xml:space="preserve"> </w:t>
      </w:r>
      <w:r>
        <w:t xml:space="preserve">carry the allocation, as linear-programming duality predicts. What fails is learning that vector online by scalar pacing: as quotas tighten the pacing update chases a moving delivery target and drifts off the optimal prices, and the fixed policy beats the best adaptive one by +2.3 to +2.6% (z ≥ 4.2). The periodically re-solved plan, which recomputes the prices rather than adapting them, dominates every regime, its edge over the static plan growing from +0.9% (z = 2.8) to +1.9% (z = 5.2).</w:t>
      </w:r>
    </w:p>
    <w:p>
      <w:pPr>
        <w:pStyle w:val="BodyText"/>
      </w:pPr>
      <w:r>
        <w:t xml:space="preserve">The deployment rule sharpens accordingly: the LP’s prices are what matter, so recompute them on the pacing cadence (re-solve, or refresh the fixed dual vector); do not learn them online by scalar pacing adaptation, which is the standard budget-pacing controller and the one policy class that fails under contention here.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at r = 0.95). At native quotas the Outbrain market is barely contended, per-segment supply dwarfs the quotas, so every policy sits within a percentage point of greedy, exactly the low-contention corner of the map. Under the same over-subscription stress, the same ordering returns and sharpens: the re-solved plan is the only policy positive at every level (+0.3 to +0.6%), the static plan and the fixed optimal-dual degrade gently, and adaptive dual-price pacing collapses far more steeply than on Taobao, to −19%, −34%, and −44% at 1.5×, 2×, and 3× quotas. That adaptation, not per-campaign pricing, is the failure, and that re-solving the plan is the robust choice, holds across two datasets from different domains.</w:t>
      </w:r>
    </w:p>
    <w:p>
      <w:pPr>
        <w:pStyle w:val="BodyText"/>
      </w:pPr>
      <w:r>
        <w:t xml:space="preserve">Three robustness checks anchor the table. The headline planned-versus-greedy comparison survives a user-clustered bootstrap (z = +4.55) and an across-fold t-test (t(4) = +5.50); the planned-versus-plain-dual cell at feasibility is fragile (z = 1.9, t = 1.3), and the ordering across regimes, not that single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0"/>
    <w:bookmarkStart w:id="34"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2" name="Picture"/>
                  <a:graphic>
                    <a:graphicData uri="http://schemas.openxmlformats.org/drawingml/2006/picture">
                      <pic:pic>
                        <pic:nvPicPr>
                          <pic:cNvPr descr="file:///E:/tmp/claude/E--Projects-Submitted-MobileAd-Comverse/464e82cd-870f-4dc1-b795-92348cf1a9b8/scratchpad/figs/fig2.png" id="33" name="Picture"/>
                          <pic:cNvPicPr>
                            <a:picLocks noChangeArrowheads="1" noChangeAspect="1"/>
                          </pic:cNvPicPr>
                        </pic:nvPicPr>
                        <pic:blipFill>
                          <a:blip r:embed="rId31"/>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4"/>
    <w:bookmarkStart w:id="53"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35"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1"/>
        </w:numPr>
      </w:pPr>
      <w:r>
        <w:t xml:space="preserve">The distribution of (context, profile) pairs observed in the past will recur in the future.</w:t>
      </w:r>
    </w:p>
    <w:p>
      <w:pPr>
        <w:pStyle w:val="Compact"/>
        <w:numPr>
          <w:ilvl w:val="0"/>
          <w:numId w:val="1001"/>
        </w:numPr>
      </w:pPr>
      <w:r>
        <w:t xml:space="preserve">Subscribers who responded similarly under similar conditions will continue to respond similarly.</w:t>
      </w:r>
    </w:p>
    <w:p>
      <w:pPr>
        <w:pStyle w:val="Compact"/>
        <w:numPr>
          <w:ilvl w:val="0"/>
          <w:numId w:val="1001"/>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35"/>
    <w:bookmarkStart w:id="36"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6"/>
    <w:bookmarkStart w:id="37"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37"/>
    <w:bookmarkStart w:id="38"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8"/>
    <w:bookmarkStart w:id="39"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9"/>
    <w:bookmarkStart w:id="43"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1" name="Picture"/>
                  <a:graphic>
                    <a:graphicData uri="http://schemas.openxmlformats.org/drawingml/2006/picture">
                      <pic:pic>
                        <pic:nvPicPr>
                          <pic:cNvPr descr="file:///E:/tmp/claude/E--Projects-Submitted-MobileAd-Comverse/464e82cd-870f-4dc1-b795-92348cf1a9b8/scratchpad/figs/fig3.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3"/>
    <w:bookmarkStart w:id="47" w:name="the-seven-step-decision"/>
    <w:p>
      <w:pPr>
        <w:pStyle w:val="Heading3"/>
      </w:pPr>
      <w:r>
        <w:t xml:space="preserve">8.2.1 The seven-step decision</w:t>
      </w:r>
    </w:p>
    <w:p>
      <w:pPr>
        <w:pStyle w:val="Compact"/>
        <w:numPr>
          <w:ilvl w:val="0"/>
          <w:numId w:val="1002"/>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2"/>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2"/>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2"/>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2"/>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2"/>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2"/>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45" name="Picture"/>
                  <a:graphic>
                    <a:graphicData uri="http://schemas.openxmlformats.org/drawingml/2006/picture">
                      <pic:pic>
                        <pic:nvPicPr>
                          <pic:cNvPr descr="file:///E:/tmp/claude/E--Projects-Submitted-MobileAd-Comverse/464e82cd-870f-4dc1-b795-92348cf1a9b8/scratchpad/figs/fig4.png" id="46" name="Picture"/>
                          <pic:cNvPicPr>
                            <a:picLocks noChangeArrowheads="1" noChangeAspect="1"/>
                          </pic:cNvPicPr>
                        </pic:nvPicPr>
                        <pic:blipFill>
                          <a:blip r:embed="rId44"/>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7"/>
    <w:bookmarkStart w:id="48"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48"/>
    <w:bookmarkStart w:id="52"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0" name="Picture"/>
                  <a:graphic>
                    <a:graphicData uri="http://schemas.openxmlformats.org/drawingml/2006/picture">
                      <pic:pic>
                        <pic:nvPicPr>
                          <pic:cNvPr descr="file:///E:/tmp/claude/E--Projects-Submitted-MobileAd-Comverse/464e82cd-870f-4dc1-b795-92348cf1a9b8/scratchpad/figs/fig5.png" id="51" name="Picture"/>
                          <pic:cNvPicPr>
                            <a:picLocks noChangeArrowheads="1" noChangeAspect="1"/>
                          </pic:cNvPicPr>
                        </pic:nvPicPr>
                        <pic:blipFill>
                          <a:blip r:embed="rId49"/>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2"/>
    <w:bookmarkEnd w:id="53"/>
    <w:bookmarkStart w:id="54"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4"/>
    <w:bookmarkStart w:id="55"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55"/>
    <w:bookmarkStart w:id="56" w:name="scope-and-assumptions"/>
    <w:p>
      <w:pPr>
        <w:pStyle w:val="Heading2"/>
      </w:pPr>
      <w:r>
        <w:t xml:space="preserve">11</w:t>
      </w:r>
      <w:r>
        <w:t xml:space="preserve">Scope and assumptions</w:t>
      </w:r>
    </w:p>
    <w:p>
      <w:pPr>
        <w:pStyle w:val="FirstParagraph"/>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56"/>
    <w:bookmarkStart w:id="57" w:name="references"/>
    <w:p>
      <w:pPr>
        <w:pStyle w:val="Heading2"/>
      </w:pPr>
      <w:r>
        <w:t xml:space="preserve">References</w:t>
      </w:r>
    </w:p>
    <w:p>
      <w:pPr>
        <w:pStyle w:val="Compact"/>
        <w:numPr>
          <w:ilvl w:val="0"/>
          <w:numId w:val="1003"/>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3"/>
        </w:numPr>
      </w:pPr>
      <w:r>
        <w:t xml:space="preserve">Alibaba Tianchi. Ad Display/Click Data on Taobao.com. Dataset 56, tianchi.aliyun.com/dataset/56, accessed August 2026.</w:t>
      </w:r>
    </w:p>
    <w:p>
      <w:pPr>
        <w:pStyle w:val="Compact"/>
        <w:numPr>
          <w:ilvl w:val="0"/>
          <w:numId w:val="1003"/>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3"/>
        </w:numPr>
      </w:pPr>
      <w:r>
        <w:t xml:space="preserve">Avazu. Click-Through Rate Prediction. Kaggle competition, kaggle.com/c/avazu-ctr-prediction, 2014, accessed August 2026.</w:t>
      </w:r>
    </w:p>
    <w:p>
      <w:pPr>
        <w:pStyle w:val="Compact"/>
        <w:numPr>
          <w:ilvl w:val="0"/>
          <w:numId w:val="1003"/>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3"/>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3"/>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3"/>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3"/>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3"/>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3"/>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3"/>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3"/>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3"/>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3"/>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3"/>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3"/>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3"/>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3"/>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3"/>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FirstParagraph"/>
      </w:pPr>
      <w:r>
        <w:t xml:space="preserve">Preprint, August 2026. Code and replay harness: github.com/ApartsinProjects/optimal-impression-allocation.</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2026-08-30T04:16:42Z</dcterms:created>
  <dcterms:modified xsi:type="dcterms:W3CDTF">2026-08-30T04:16:42Z</dcterms:modified>
</cp:coreProperties>
</file>

<file path=docProps/custom.xml><?xml version="1.0" encoding="utf-8"?>
<Properties xmlns="http://schemas.openxmlformats.org/officeDocument/2006/custom-properties" xmlns:vt="http://schemas.openxmlformats.org/officeDocument/2006/docPropsVTypes"/>
</file>