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6.png" ContentType="image/png"/>
  <Override PartName="/word/media/rId49.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Contention Regime Map for Quota-Constrained Impression Allocation over Fine Audience Segments.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and user-clustered inference (headline z = 4.55) delimit what public logs can show, and a semi-synthetic benchmark with a known ground truth confirms the protocol recovers the true policy ranking and the true best policy, even under an adversarial logging policy that selects on the outcome. The protocol yields a regime map. At exact feasibility, plan-informed policies beat greedy serving by 3.5–4.5%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The periodically re-solved plan dominates every contended regime (+2.2 to +4.3% over greedy, z ≥ 3.4) and is the one price source positive across every contention level, dataset, and objective we test: a fixed dual pinned once at the LP optimum survives the click objective, but under a revenue objective with heterogeneous per-click and per-impression values and delivery penalties it turns negative under contention, so the durable prescription is to obtain prices by solving and re-solving, not by learning them online. The ordering reproduces on a second dataset (Outbrain, 87M impressions), where online pacing deepens to −44%, and the whole regime map transfers to the revenue objective, where the plan tier’s advantage grows as delivery guarantees harden. Grounding the gains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That class of market, whose originating instance is the mobile-operator system of Section 8 and whose largest current one is retail media, is where this study applies; the public commerce-media log we evaluate on (Taobao) is drawn from inside it, not a distant analog.</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while solving for the prices does not, a result that holds on a second dataset and under a revenue objective with delivery guarantees.</w:t>
      </w:r>
    </w:p>
    <w:p>
      <w:pPr>
        <w:pStyle w:val="BodyText"/>
      </w:pPr>
      <w:r>
        <w:t xml:space="preserve">Together these compose a three-step rule an operator’s planning team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30"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29"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29"/>
    <w:bookmarkEnd w:id="30"/>
    <w:bookmarkStart w:id="31"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1"/>
    <w:bookmarkStart w:id="35"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3" name="Picture"/>
                  <a:graphic>
                    <a:graphicData uri="http://schemas.openxmlformats.org/drawingml/2006/picture">
                      <pic:pic>
                        <pic:nvPicPr>
                          <pic:cNvPr descr="file:///E:/tmp/claude/E--Projects-Submitted-MobileAd-Comverse/464e82cd-870f-4dc1-b795-92348cf1a9b8/scratchpad/figs/fig2.png" id="34" name="Picture"/>
                          <pic:cNvPicPr>
                            <a:picLocks noChangeArrowheads="1" noChangeAspect="1"/>
                          </pic:cNvPicPr>
                        </pic:nvPicPr>
                        <pic:blipFill>
                          <a:blip r:embed="rId32"/>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so the comparison is not against a straw controller;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each carefully scoped. First, the failure under heavy over-subscription is shared by every adaptive dual-price method we test, modern mirror descent included, not an artifact of a weak controller;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is the more fragile of the two: the revenue objective below shows the one-shot optimal dual is not universally robust, since a price vector solved once against the fluid plan can misprice campaigns when the realized arrival order departs from it.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itself a</w:t>
      </w:r>
      <w:r>
        <w:t xml:space="preserve"> </w:t>
      </w:r>
      <w:r>
        <w:rPr>
          <w:i/>
          <w:iCs/>
        </w:rPr>
        <w:t xml:space="preserve">measurable</w:t>
      </w:r>
      <w:r>
        <w:t xml:space="preserve"> </w:t>
      </w:r>
      <w:r>
        <w:t xml:space="preserve">quantity, not a post-hoc excuse: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39"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7" name="Picture"/>
                  <a:graphic>
                    <a:graphicData uri="http://schemas.openxmlformats.org/drawingml/2006/picture">
                      <pic:pic>
                        <pic:nvPicPr>
                          <pic:cNvPr descr="file:///E:/tmp/claude/E--Projects-Submitted-MobileAd-Comverse/464e82cd-870f-4dc1-b795-92348cf1a9b8/scratchpad/figs/fig3.png" id="38" name="Picture"/>
                          <pic:cNvPicPr>
                            <a:picLocks noChangeArrowheads="1" noChangeAspect="1"/>
                          </pic:cNvPicPr>
                        </pic:nvPicPr>
                        <pic:blipFill>
                          <a:blip r:embed="rId36"/>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39"/>
    <w:bookmarkStart w:id="40"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40"/>
    <w:bookmarkStart w:id="41" w:name="related-work"/>
    <w:p>
      <w:pPr>
        <w:pStyle w:val="Heading2"/>
      </w:pPr>
      <w:r>
        <w:t xml:space="preserve">9</w:t>
      </w:r>
      <w:r>
        <w:t xml:space="preserve">Related work</w:t>
      </w:r>
    </w:p>
    <w:p>
      <w:pPr>
        <w:pStyle w:val="FirstParagraph"/>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Line of work</w:t>
            </w:r>
          </w:p>
        </w:tc>
        <w:tc>
          <w:tcPr/>
          <w:p>
            <w:pPr>
              <w:pStyle w:val="Compact"/>
              <w:jc w:val="left"/>
            </w:pPr>
            <w:r>
              <w:t xml:space="preserve">Prescribes the</w:t>
            </w:r>
            <w:r>
              <w:br/>
            </w:r>
            <w:r>
              <w:t xml:space="preserve">segmentation</w:t>
            </w:r>
          </w:p>
        </w:tc>
        <w:tc>
          <w:tcPr/>
          <w:p>
            <w:pPr>
              <w:pStyle w:val="Compact"/>
              <w:jc w:val="left"/>
            </w:pPr>
            <w:r>
              <w:t xml:space="preserve">Pre-committed,</w:t>
            </w:r>
            <w:r>
              <w:br/>
            </w:r>
            <w:r>
              <w:t xml:space="preserve">blind test</w:t>
            </w:r>
          </w:p>
        </w:tc>
        <w:tc>
          <w:tcPr/>
          <w:p>
            <w:pPr>
              <w:pStyle w:val="Compact"/>
              <w:jc w:val="left"/>
            </w:pPr>
            <w:r>
              <w:t xml:space="preserve">Public-log,</w:t>
            </w:r>
            <w:r>
              <w:br/>
            </w:r>
            <w:r>
              <w:t xml:space="preserve">hardened OPE</w:t>
            </w:r>
          </w:p>
        </w:tc>
        <w:tc>
          <w:tcPr/>
          <w:p>
            <w:pPr>
              <w:pStyle w:val="Compact"/>
              <w:jc w:val="left"/>
            </w:pPr>
            <w:r>
              <w:t xml:space="preserve">Regime map</w:t>
            </w:r>
            <w:r>
              <w:br/>
            </w:r>
            <w:r>
              <w:t xml:space="preserve">(plan vs. adapt)</w:t>
            </w:r>
          </w:p>
        </w:tc>
        <w:tc>
          <w:tcPr/>
          <w:p>
            <w:pPr>
              <w:pStyle w:val="Compact"/>
              <w:jc w:val="left"/>
            </w:pPr>
            <w:r>
              <w:t xml:space="preserve">Revenue with</w:t>
            </w:r>
            <w:r>
              <w:br/>
            </w:r>
            <w:r>
              <w:t xml:space="preserve">guarantees</w:t>
            </w:r>
          </w:p>
        </w:tc>
      </w:tr>
      <w:tr>
        <w:tc>
          <w:tcPr/>
          <w:p>
            <w:pPr>
              <w:pStyle w:val="Compact"/>
              <w:jc w:val="left"/>
            </w:pPr>
            <w:r>
              <w:t xml:space="preserve">Online matching, AdWords [6, 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Random-permutation online LP [8–10]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Guaranteed display: forecasts, SHALE [11, 12]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Dual mirror descent [21]</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Yield optimization, ad exchange [22]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Budget-pacing controllers [13, 14]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rPr>
                <w:b/>
                <w:bCs/>
              </w:rPr>
              <w:t xml:space="preserve">This paper</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r>
    </w:tbl>
    <w:p>
      <w:pPr>
        <w:pStyle w:val="BodyText"/>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41"/>
    <w:bookmarkStart w:id="42"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42"/>
    <w:bookmarkStart w:id="43" w:name="scope-and-assumptions"/>
    <w:p>
      <w:pPr>
        <w:pStyle w:val="Heading2"/>
      </w:pPr>
      <w:r>
        <w:t xml:space="preserve">11</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not failed replications; they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43"/>
    <w:bookmarkStart w:id="62" w:name="X768eda5dc47c9e2fbd56372e290aa93bfab37c7"/>
    <w:p>
      <w:pPr>
        <w:pStyle w:val="Heading2"/>
      </w:pPr>
      <w:r>
        <w:t xml:space="preserve">Appendix A. Reference serving architecture</w:t>
      </w:r>
    </w:p>
    <w:p>
      <w:pPr>
        <w:pStyle w:val="FirstParagraph"/>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44" w:name="Xa31f11580875970f34b111f76672a43985c73f8"/>
    <w:p>
      <w:pPr>
        <w:pStyle w:val="Heading3"/>
      </w:pPr>
      <w:r>
        <w:t xml:space="preserve">A.1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44"/>
    <w:bookmarkStart w:id="45" w:name="a.1.1-response-records"/>
    <w:p>
      <w:pPr>
        <w:pStyle w:val="Heading3"/>
      </w:pPr>
      <w:r>
        <w:t xml:space="preserve">A.1.1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45"/>
    <w:bookmarkStart w:id="46" w:name="a.1.2-proximity-and-clustering"/>
    <w:p>
      <w:pPr>
        <w:pStyle w:val="Heading3"/>
      </w:pPr>
      <w:r>
        <w:t xml:space="preserve">A.1.2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46"/>
    <w:bookmarkStart w:id="47" w:name="X8b2446043a77ae8c428cb2f72851e920fe1c4ed"/>
    <w:p>
      <w:pPr>
        <w:pStyle w:val="Heading3"/>
      </w:pPr>
      <w:r>
        <w:t xml:space="preserve">A.1.3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47"/>
    <w:bookmarkStart w:id="48" w:name="X2728b61a2ed01e7aae0fb7efa1e42ffc1e64944"/>
    <w:p>
      <w:pPr>
        <w:pStyle w:val="Heading3"/>
      </w:pPr>
      <w:r>
        <w:t xml:space="preserve">A.1.4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8"/>
    <w:bookmarkStart w:id="52" w:name="X4b4881ba4a2c69f1986b51a46ce2020ac7b4091"/>
    <w:p>
      <w:pPr>
        <w:pStyle w:val="Heading3"/>
      </w:pPr>
      <w:r>
        <w:t xml:space="preserve">A.2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50" name="Picture"/>
                  <a:graphic>
                    <a:graphicData uri="http://schemas.openxmlformats.org/drawingml/2006/picture">
                      <pic:pic>
                        <pic:nvPicPr>
                          <pic:cNvPr descr="file:///E:/tmp/claude/E--Projects-Submitted-MobileAd-Comverse/464e82cd-870f-4dc1-b795-92348cf1a9b8/scratchpad/figs/fig4.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52"/>
    <w:bookmarkStart w:id="56" w:name="a.2.1-the-seven-step-decision"/>
    <w:p>
      <w:pPr>
        <w:pStyle w:val="Heading3"/>
      </w:pPr>
      <w:r>
        <w:t xml:space="preserve">A.2.1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4" name="Picture"/>
                  <a:graphic>
                    <a:graphicData uri="http://schemas.openxmlformats.org/drawingml/2006/picture">
                      <pic:pic>
                        <pic:nvPicPr>
                          <pic:cNvPr descr="file:///E:/tmp/claude/E--Projects-Submitted-MobileAd-Comverse/464e82cd-870f-4dc1-b795-92348cf1a9b8/scratchpad/figs/fig5.png" id="55" name="Picture"/>
                          <pic:cNvPicPr>
                            <a:picLocks noChangeArrowheads="1" noChangeAspect="1"/>
                          </pic:cNvPicPr>
                        </pic:nvPicPr>
                        <pic:blipFill>
                          <a:blip r:embed="rId53"/>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56"/>
    <w:bookmarkStart w:id="57" w:name="X177b7c0bc4741b5b22d40a3d16b0d67309e222e"/>
    <w:p>
      <w:pPr>
        <w:pStyle w:val="Heading3"/>
      </w:pPr>
      <w:r>
        <w:t xml:space="preserve">A.2.2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57"/>
    <w:bookmarkStart w:id="61" w:name="a.2.3-pacing-planned-versus-actual"/>
    <w:p>
      <w:pPr>
        <w:pStyle w:val="Heading3"/>
      </w:pPr>
      <w:r>
        <w:t xml:space="preserve">A.2.3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9" name="Picture"/>
                  <a:graphic>
                    <a:graphicData uri="http://schemas.openxmlformats.org/drawingml/2006/picture">
                      <pic:pic>
                        <pic:nvPicPr>
                          <pic:cNvPr descr="file:///E:/tmp/claude/E--Projects-Submitted-MobileAd-Comverse/464e82cd-870f-4dc1-b795-92348cf1a9b8/scratchpad/figs/fig6.png" id="60" name="Picture"/>
                          <pic:cNvPicPr>
                            <a:picLocks noChangeArrowheads="1" noChangeAspect="1"/>
                          </pic:cNvPicPr>
                        </pic:nvPicPr>
                        <pic:blipFill>
                          <a:blip r:embed="rId58"/>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61"/>
    <w:bookmarkEnd w:id="62"/>
    <w:bookmarkStart w:id="63"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2026-08-31T12:51:21Z</dcterms:created>
  <dcterms:modified xsi:type="dcterms:W3CDTF">2026-08-31T12:51:21Z</dcterms:modified>
</cp:coreProperties>
</file>

<file path=docProps/custom.xml><?xml version="1.0" encoding="utf-8"?>
<Properties xmlns="http://schemas.openxmlformats.org/officeDocument/2006/custom-properties" xmlns:vt="http://schemas.openxmlformats.org/officeDocument/2006/docPropsVTypes"/>
</file>