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62474ac8021dc677ea6aef3c984b364bc7f39ed"/>
    <w:p>
      <w:pPr>
        <w:pStyle w:val="Title"/>
        <w:spacing w:before="0" w:after="160"/>
        <w:jc w:val="center"/>
        <w:keepNext/>
        <w:keepLines/>
        <w:widowControl w:val="1"/>
      </w:pPr>
      <w:r>
        <w:t xml:space="preserve">Clinical Communication Processing with Models Trained on LLM-Generated Synthetic Data: A Structured Survey and Novel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A great deal of clinical value is conveyed not through structured records but through communication:</w:t>
      </w:r>
      <w:r>
        <w:t xml:space="preserve"> </w:t>
      </w:r>
      <w:r>
        <w:t xml:space="preserve">the spoken and written exchanges in which patients describe symptoms, clinicians reason and give</w:t>
      </w:r>
      <w:r>
        <w:t xml:space="preserve"> </w:t>
      </w:r>
      <w:r>
        <w:t xml:space="preserve">instructions, ambulances hand over to emergency departments, and nurses pass on a shift. Such language</w:t>
      </w:r>
      <w:r>
        <w:t xml:space="preserve"> </w:t>
      </w:r>
      <w:r>
        <w:t xml:space="preserve">differs from tabular data because meaning depends on speaker role, intent, causality, uncertainty,</w:t>
      </w:r>
      <w:r>
        <w:t xml:space="preserve"> </w:t>
      </w:r>
      <w:r>
        <w:t xml:space="preserve">omission, and channel noise, and healthcare natural language processing (NLP) must interpret information</w:t>
      </w:r>
      <w:r>
        <w:t xml:space="preserve"> </w:t>
      </w:r>
      <w:r>
        <w:t xml:space="preserve">as it is conveyed rather than as it is coded. Learning to do so requires large, diverse, and</w:t>
      </w:r>
      <w:r>
        <w:t xml:space="preserve"> </w:t>
      </w:r>
      <w:r>
        <w:t xml:space="preserve">well-annotated corpora of clinical communication, which are scarce: authentic exchanges are private,</w:t>
      </w:r>
      <w:r>
        <w:t xml:space="preserve"> </w:t>
      </w:r>
      <w:r>
        <w:t xml:space="preserve">fragmented across channels, and costly to annotate. Large language models offer a way forward, because</w:t>
      </w:r>
      <w:r>
        <w:t xml:space="preserve"> </w:t>
      </w:r>
      <w:r>
        <w:t xml:space="preserve">they can transform structured or documentary clinical sources, such as records, diagnostic labels,</w:t>
      </w:r>
      <w:r>
        <w:t xml:space="preserve"> </w:t>
      </w:r>
      <w:r>
        <w:t xml:space="preserve">symptom lists, or care plans, into written and transcribed spoken communication for downstream models.</w:t>
      </w:r>
    </w:p>
    <w:p>
      <w:pPr>
        <w:pStyle w:val="BodyText"/>
        <w:ind w:left="720" w:right="720" w:firstLine="0"/>
        <w:jc w:val="both"/>
        <w:keepNext w:val="0"/>
        <w:keepLines w:val="0"/>
        <w:widowControl w:val="1"/>
      </w:pPr>
      <w:r>
        <w:t xml:space="preserve">We present a structured narrative survey of this emerging area, organized by source representation,</w:t>
      </w:r>
      <w:r>
        <w:t xml:space="preserve"> </w:t>
      </w:r>
      <w:r>
        <w:t xml:space="preserve">communication form and participants, generation method, and downstream task, and complemented by</w:t>
      </w:r>
      <w:r>
        <w:t xml:space="preserve"> </w:t>
      </w:r>
      <w:r>
        <w:t xml:space="preserve">ten novel application case studies that build clinical NLP systems for communication channels and</w:t>
      </w:r>
      <w:r>
        <w:t xml:space="preserve"> </w:t>
      </w:r>
      <w:r>
        <w:t xml:space="preserve">languages with no labeled real-world data, spanning EMS pre-arrival reports, nurse handoffs, and</w:t>
      </w:r>
      <w:r>
        <w:t xml:space="preserve"> </w:t>
      </w:r>
      <w:r>
        <w:t xml:space="preserve">patient-portal triage, and</w:t>
      </w:r>
      <w:r>
        <w:t xml:space="preserve"> </w:t>
      </w:r>
      <w:r>
        <w:t xml:space="preserve">showing that synthetic communication can bootstrap systems that could not otherwise be trained.</w:t>
      </w:r>
      <w:r>
        <w:t xml:space="preserve"> </w:t>
      </w:r>
      <w:r>
        <w:t xml:space="preserve">Recurring observations include the competitiveness of fine-tuned encoder models over evaluated zero-shot</w:t>
      </w:r>
      <w:r>
        <w:t xml:space="preserve"> </w:t>
      </w:r>
      <w:r>
        <w:t xml:space="preserve">baselines and the value of deliberately degraded communication for robustness. The central limitation is</w:t>
      </w:r>
      <w:r>
        <w:t xml:space="preserve"> </w:t>
      </w:r>
      <w:r>
        <w:t xml:space="preserve">that most studies evaluate on held-out synthetic communication, with train-on-synthetic,</w:t>
      </w:r>
      <w:r>
        <w:t xml:space="preserve"> </w:t>
      </w:r>
      <w:r>
        <w:t xml:space="preserve">test-on-authentic evidence still accumulating. We conclude that synthetic clinical communication is</w:t>
      </w:r>
      <w:r>
        <w:t xml:space="preserve"> </w:t>
      </w:r>
      <w:r>
        <w:t xml:space="preserve">becoming a practical research resource; establishing it as reusable clinical infrastructure will build on</w:t>
      </w:r>
      <w:r>
        <w:t xml:space="preserve"> </w:t>
      </w:r>
      <w:r>
        <w:t xml:space="preserve">authentic-data transfer together with attention to safety, privacy, and external validation.</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Importantly, the source defines the intended facts and</w:t>
      </w:r>
      <w:r>
        <w:t xml:space="preserve"> </w:t>
      </w:r>
      <w:r>
        <w:t xml:space="preserve">the generator realizes them in language; the model does not invent clinical truth.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and then evaluated in the S→S regime or, less often, by transfer to real text (S→R).</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contributions are to organize a fragmented literature around the source-to-communication</w:t>
      </w:r>
      <w:r>
        <w:t xml:space="preserve"> </w:t>
      </w:r>
      <w:r>
        <w:t xml:space="preserve">pipeline; to survey recent generation and evaluation methods; to present ten novel application case</w:t>
      </w:r>
      <w:r>
        <w:t xml:space="preserve"> </w:t>
      </w:r>
      <w:r>
        <w:t xml:space="preserve">studies that build clinical NLP for communication channels and languages lacking any labeled real-world</w:t>
      </w:r>
      <w:r>
        <w:t xml:space="preserve"> </w:t>
      </w:r>
      <w:r>
        <w:t xml:space="preserve">data, demonstrating feasibility where models could not otherwise be trained; and to distill reusable design</w:t>
      </w:r>
      <w:r>
        <w:t xml:space="preserve"> </w:t>
      </w:r>
      <w:r>
        <w:t xml:space="preserve">patterns and open problems in an emergent field. The work spans three concerns of healthcare informatics:</w:t>
      </w:r>
      <w:r>
        <w:t xml:space="preserve"> </w:t>
      </w:r>
      <w:r>
        <w:t xml:space="preserve">analytics, in the generative-AI and machine-learning methods used to produce and process clinical text;</w:t>
      </w:r>
      <w:r>
        <w:t xml:space="preserve"> </w:t>
      </w:r>
      <w:r>
        <w:t xml:space="preserve">systems, in building natural language processing for under-served communication channels; and</w:t>
      </w:r>
      <w:r>
        <w:t xml:space="preserve"> </w:t>
      </w:r>
      <w:r>
        <w:t xml:space="preserve">human-centered computing, in the clinician and patient communication these systems ultimately serve.</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searches of arXiv, PubMed/MEDLINE, and the ACL Anthology, supplemented by forward and</w:t>
      </w:r>
      <w:r>
        <w:t xml:space="preserve"> </w:t>
      </w:r>
      <w:r>
        <w:t xml:space="preserve">backward citation tracing and by browsing recent issues of the 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Throughout Section 3 the headline downstream metric is macro-averaged F1, which weights</w:t>
      </w:r>
      <w:r>
        <w:t xml:space="preserve"> </w:t>
      </w:r>
      <w:r>
        <w:t xml:space="preserve">every class equally and is therefore the right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reports results on</w:t>
      </w:r>
      <w:r>
        <w:t xml:space="preserve"> </w:t>
      </w:r>
      <w:r>
        <w:t xml:space="preserve">authentic patient-authored text; of the nine,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pStyle w:val="BodyText"/>
        <w:spacing w:before="240"/>
        <w:jc w:val="both"/>
        <w:keepNext w:val="0"/>
        <w:keepLines w:val="0"/>
        <w:widowControl w:val="1"/>
      </w:pPr>
      <w:r>
        <w:t xml:space="preserve">Counted across these task rows, the surveyed work concentrates in patient simulation and professional</w:t>
      </w:r>
      <w:r>
        <w:t xml:space="preserve"> </w:t>
      </w:r>
      <w:r>
        <w:t xml:space="preserve">training (fourteen representative works), summarization (ten), and information extraction and benchmark</w:t>
      </w:r>
      <w:r>
        <w:t xml:space="preserve"> </w:t>
      </w:r>
      <w:r>
        <w:t xml:space="preserve">construction (nine each), with privacy, augmentation, and distillation cutting across (twelve); triage and</w:t>
      </w:r>
      <w:r>
        <w:t xml:space="preserve"> </w:t>
      </w:r>
      <w:r>
        <w:t xml:space="preserve">routing, clinical coding, and handoff are 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3"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They are illustrative rather than exhaustive, selected to span the channels of Section 2 rather than through systematic sampling.</w:t>
      </w:r>
      <w:r>
        <w:t xml:space="preserve"> </w:t>
      </w:r>
      <w:r>
        <w:t xml:space="preserve">Each is a novel contribution in its own right: it builds a working system for a channel or language where</w:t>
      </w:r>
      <w:r>
        <w:t xml:space="preserve"> </w:t>
      </w:r>
      <w:r>
        <w:t xml:space="preserve">labeled real-world data is unavailable, making synthetic communication the enabling resource rather than a</w:t>
      </w:r>
      <w:r>
        <w:t xml:space="preserve"> </w:t>
      </w:r>
      <w:r>
        <w:t xml:space="preserve">mere convenience.</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0.97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w:t>
      </w:r>
    </w:p>
    <w:tbl>
      <w:tblPr>
        <w:tblStyle w:val="Table"/>
        <w:tblW w:type="pct" w:w="5000"/>
        <w:jc w:val="center"/>
        <w:tblLook w:firstRow="1" w:lastRow="0" w:firstColumn="0" w:lastColumn="0" w:noHBand="0" w:noVBand="0" w:val="0020"/>
        <w:tblCaption w:val="Table 8. Diagnostic accuracy by narrative noise level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77.5%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w:t>
      </w:r>
    </w:p>
    <w:tbl>
      <w:tblPr>
        <w:tblStyle w:val="Table"/>
        <w:tblW w:type="pct" w:w="5000"/>
        <w:jc w:val="center"/>
        <w:tblLook w:firstRow="1" w:lastRow="0" w:firstColumn="0" w:lastColumn="0" w:noHBand="0" w:noVBand="0" w:val="0020"/>
        <w:tblCaption w:val="Table 10. Binary emergency-department triage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six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and synthetic generation is confined to training-side rebalancing, which makes this</w:t>
      </w:r>
      <w:r>
        <w:t xml:space="preserve"> </w:t>
      </w:r>
      <w:r>
        <w:t xml:space="preserve">the one study in the survey whose reported metric is measured on real communication rather than on</w:t>
      </w:r>
      <w:r>
        <w:t xml:space="preserve"> </w:t>
      </w:r>
      <w:r>
        <w:t xml:space="preserve">held-out synthetic data; the classical SVM baseline (0.84 accuracy, 0.80 macro-F1) isolates that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0.971 accuracy and 0.972 macro-F1,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three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w:t>
      </w:r>
    </w:p>
    <w:tbl>
      <w:tblPr>
        <w:tblStyle w:val="Table"/>
        <w:tblW w:type="pct" w:w="5000"/>
        <w:jc w:val="center"/>
        <w:tblLook w:firstRow="1" w:lastRow="0" w:firstColumn="0" w:lastColumn="0" w:noHBand="0" w:noVBand="0" w:val="0020"/>
        <w:tblCaption w:val="Table 16. SBAR handover completeness: note-level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End w:id="53"/>
    <w:bookmarkStart w:id="58"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4"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4"/>
    <w:bookmarkStart w:id="55"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w:t>
      </w:r>
    </w:p>
    <w:bookmarkEnd w:id="55"/>
    <w:bookmarkStart w:id="56"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6"/>
    <w:bookmarkStart w:id="57"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is narrative rather than systematic, so its coverage reflects</w:t>
      </w:r>
      <w:r>
        <w:t xml:space="preserve"> </w:t>
      </w:r>
      <w:r>
        <w:t xml:space="preserve">targeted search and citation tracing rather than an exhaustive protocol, and fast-moving preprint work will</w:t>
      </w:r>
      <w:r>
        <w:t xml:space="preserve"> </w:t>
      </w:r>
      <w:r>
        <w:t xml:space="preserve">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7"/>
    <w:bookmarkEnd w:id="58"/>
    <w:bookmarkStart w:id="59"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59"/>
    <w:bookmarkStart w:id="60"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17)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17.</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7.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over zero-shot LLMs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outperforms the evaluated zero-shot LLM baselines on the downstream task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§3.1.3, §3.2.1, §3.2.3, §3.2.4,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degraded real-world input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audited by a judge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the text and an independent LLM judge audits quality, giving both control and label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18)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18.</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8.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whose classifier is tested on</w:t>
      </w:r>
      <w:r>
        <w:t xml:space="preserve"> </w:t>
      </w:r>
      <w:r>
        <w:t xml:space="preserve">authentic patient-authored questions with synthetic generation confined to rebalancing the rare class in</w:t>
      </w:r>
      <w:r>
        <w:t xml:space="preserve"> </w:t>
      </w:r>
      <w:r>
        <w:t xml:space="preserve">training; one further study grounds generation in real clinical records, tracing EMS routing to MIMIC-IV cases (Section 3.3.1).</w:t>
      </w:r>
      <w:r>
        <w:t xml:space="preserve"> </w:t>
      </w:r>
      <w:r>
        <w:t xml:space="preserve">Even so, the decisive evidence, strong performance when a model is trained end-to-end on synthetic</w:t>
      </w:r>
      <w:r>
        <w:t xml:space="preserve"> </w:t>
      </w:r>
      <w:r>
        <w:t xml:space="preserve">communication and tested on real communication, is the field's decisive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0"/>
    <w:bookmarkStart w:id="62" w:name="data"/>
    <w:p>
      <w:pPr>
        <w:pStyle w:val="Heading2"/>
        <w:keepNext/>
        <w:keepLines/>
        <w:widowControl w:val="1"/>
      </w:pPr>
      <w:r>
        <w:t xml:space="preserve">Data and Code Availability</w:t>
      </w:r>
    </w:p>
    <w:p>
      <w:pPr>
        <w:pStyle w:val="FirstParagraph"/>
        <w:jc w:val="both"/>
        <w:keepNext w:val="0"/>
        <w:keepLines w:val="0"/>
        <w:widowControl w:val="1"/>
      </w:pPr>
      <w:r>
        <w:t xml:space="preserve">The datasets, generation scripts, and model configurations for all ten application</w:t>
      </w:r>
      <w:r>
        <w:t xml:space="preserve"> </w:t>
      </w:r>
      <w:r>
        <w:t xml:space="preserve">studies in Section 3 are shared publicly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1">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r>
        <w:pict>
          <v:rect style="width:0;height:1.5pt" o:hralign="center" o:hrstd="t" o:hr="t"/>
        </w:pict>
      </w:r>
    </w:p>
    <w:bookmarkEnd w:id="62"/>
    <w:bookmarkStart w:id="63"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3"/>
    <w:bookmarkStart w:id="64"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conceived and designed the study. Alexander Apartsin performed the analysis and drafted the manuscript. Both authors reviewed and edited the manuscript and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4"/>
    <w:bookmarkStart w:id="6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5">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CRICO Strategies. Malpractice Risks in Communication Failures: 2015 Annual Benchmarking Report. Cambridge, MA, 2015.</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The Joint Commission. Sentinel Event Data Summary (annual root-cause reports). Oakbrook Terrace, IL.</w:t>
      </w:r>
      <w:r>
        <w:t xml:space="preserve"> </w:t>
      </w:r>
      <w:hyperlink r:id="rId67">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N. Barman. Symptom2Disease. Kaggle dataset, 2023.</w:t>
      </w:r>
      <w:r>
        <w:t xml:space="preserve"> </w:t>
      </w:r>
      <w:hyperlink r:id="rId68">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bookmarkEnd w:id="69"/>
    <w:bookmarkEnd w:id="70"/>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1"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1"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2026-08-08T17:21:27Z</dcterms:created>
  <dcterms:modified xsi:type="dcterms:W3CDTF">2026-08-08T17:21:27Z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