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in settings where labeled authentic data are scarce or inaccessible), and distill from them reusable</w:t>
      </w:r>
      <w:r>
        <w:t xml:space="preserve"> </w:t>
      </w:r>
      <w:r>
        <w:t xml:space="preserve">design patterns and open problems in an emergent field.</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improves robustness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6">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8">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69">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0">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1">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2">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3">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4">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5">
        <w:r>
          <w:rPr>
            <w:rStyle w:val="Hyperlink"/>
          </w:rPr>
          <w:t xml:space="preserve">https://doi.org/10.3389/fdgth.2025.1623922</w:t>
        </w:r>
      </w:hyperlink>
    </w:p>
    <w:bookmarkEnd w:id="76"/>
    <w:bookmarkEnd w:id="77"/>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2026-08-09T11:43:10Z</dcterms:created>
  <dcterms:modified xsi:type="dcterms:W3CDTF">2026-08-09T11:43:10Z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